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62 vom 21. April 2022</w:t>
      </w:r>
    </w:p>
    <w:p>
      <w:r>
        <w:t>VD Tribunal cantonal, 2022-04-21, FR</w:t>
      </w:r>
    </w:p>
    <w:p>
      <w:r>
        <w:rPr>
          <w:b/>
        </w:rPr>
        <w:t xml:space="preserve">Quelle: </w:t>
      </w:r>
      <w:r>
        <w:t>https://mcp.opencaselaw.ch/entscheid/vd_findinfo_ML___2022___62</w:t>
      </w:r>
    </w:p>
    <w:p>
      <w:r>
        <w:t>FR: VD_FINDINFO ML / 2022 / 62 du 21 avril 2022</w:t>
      </w:r>
    </w:p>
    <w:p>
      <w:r>
        <w:t>IT: VD_FINDINFO ML / 2022 / 62 del 21 aprile 2022</w:t>
      </w:r>
    </w:p>
    <w:p>
      <w:pPr>
        <w:pStyle w:val="Heading2"/>
      </w:pPr>
      <w:r>
        <w:t>Regeste</w:t>
      </w:r>
    </w:p>
    <w:p>
      <w:r>
        <w:t>DROIT DE S'EXPLIQUER, RÉPLIQUE, DROIT D'ÊTRE ENTENDU | 29 Cst.</w:t>
      </w:r>
    </w:p>
    <w:p>
      <w:pPr>
        <w:pStyle w:val="Heading2"/>
      </w:pPr>
      <w:r>
        <w:t>Erwägungen</w:t>
      </w:r>
    </w:p>
    <w:p>
      <w:r>
        <w:rPr>
          <w:b/>
        </w:rPr>
        <w:t>E. 2</w:t>
      </w:r>
    </w:p>
    <w:p>
      <w:r>
        <w:t>CPC, est recevable. La réplique spontanée des recourants est également recevable en vertu de leur droit d’être entendu (ATF 142 III 48 consid. 4.1.1 et les références citées ; ATF 139 II 189 consid. 3.2 ; ATF 138 I 484 consid. 2). II. A l’appui de leur conclusion subsidiaire, les recourants soutiennent que leur droit d’être entendu aurait été violé. Ce moyen étant susceptible d’entraîner l’annulation de la décision entreprise, il convient de l’examiner en premier lieu. Selon les recourants, en tant qu’elle ne leur a pas notifié l’écriture du poursuivi du 28 juin 2021 et ne leur a pas donné l’occasion de se déterminer à son sujet, ni de produire de nouvelles pièces, l’autorité inférieure a violé leur droit d’être entendus. L’intimé soutient quant à lui que, dans la mesure où il a adressé aux intéressés une copie de cette écriture ainsi qu’un exemplaire original du bordereau et des pièces l’accompagnant, les poursuivis, qui en ont ainsi eu connaissance, ont purement et simplement renoncé à leur droit de se déterminer sur l’écriture du 28 juin 2021 et que, dans ces circonstances, aucune violation du droit d’être entendu ne justifie d’annuler le prononcé attaqué. a)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 ATF 139 II 489 consid. 3.3 ; ATF 139 I 189 consid. 3.2 ; ATF 138 I 484 consid. 2.1 ;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 2020 du 27 janvier 2021 consid. 3.1 ; ATF 139 I 189 consid. 3.2 et les références citées). En l'espèce, il apparaît que la réponse du poursuivi du 28 juin 2021 n’a pas été communiquée par l'autorité de première instance aux poursuivants avant que la décision entreprise ne soit rendue. Peu importe que le conseil du poursuivi ait adressé directement une copie de cette écriture à l'avocat des poursuivants « confor-mément à l’usage ». En effet, selon la jurisprudence, seule une transmission par le juge garantit un droit de réplique effectif (TF 5A_477/2020 du 27 janvier 2021 précité consid. 3.2 ; TF 1B_485/2017 du 7 février 2018 consid. 3.2 ; TF 5A_262/2015 du 11 août 2015 consid. 3.2). Dans ces circonstances, le droit d'être entendu des poursuivants, sous l'angle du droit à la réplique, a été violé. b)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RSPC 2017 p. 313 ; Colombini, Code de procédure civile, Condensé de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précité ; Colombini, op. cit., n. 15.3.1 ad art. 53 CPC). En l’espèce, la violation du droit à la réplique des poursuivants a indéniablement entraîné un préjudice pour les intéressés, dès lors qu’ils n’ont, notamment, pas pu produire tous les documents dont ils entendaient se prévaloir, en particulier les deux pièces qu’ils ont produit à l’appui de leur acte de recours. Or, ces pièces étant irrecevables en vertu de l’art. 326 al. 1 CPC vu la prohibition des preuves nouvelles en procédure de recours (cf. consid. I supra), une réparation du vice en deuxième instance apparaît impossible. III. Le recours doit dès lors être admis et le prononcé annulé, la cause étant renvoyée à l’autorité précédente pour qu’elle communique aux poursuivants la réponse du poursuivi du 28 juin 2021 et rende, après d’éventuelles déterminations des poursuivants, une nouvelle décision. Les frais judiciaires de deuxième instance, arrêtés à 2’700 fr., sont laissés à la charge de l’Etat dès lors qu’ils ne sont pas imputables aux parties (art. 107 al. 2 CPC). L’avance de frais de 2’700 fr. effectuée par les recourants leur sera restituée. Vu l’admission du recours, les recourants ont droit de la part de l’intimé, qui succombe, à des dépens de deuxième instance, fixés à 2’500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