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32 vom 25. Februar 2022</w:t>
      </w:r>
    </w:p>
    <w:p>
      <w:r>
        <w:t>VD Tribunal cantonal, 2022-02-25, FR</w:t>
      </w:r>
    </w:p>
    <w:p>
      <w:r>
        <w:rPr>
          <w:b/>
        </w:rPr>
        <w:t xml:space="preserve">Quelle: </w:t>
      </w:r>
      <w:r>
        <w:t>https://mcp.opencaselaw.ch/entscheid/vd_findinfo_ML___2022___32</w:t>
      </w:r>
    </w:p>
    <w:p>
      <w:r>
        <w:t>FR: VD_FINDINFO ML / 2022 / 32 du 25 février 2022</w:t>
      </w:r>
    </w:p>
    <w:p>
      <w:r>
        <w:t>IT: VD_FINDINFO ML / 2022 / 32 del 25 febbraio 2022</w:t>
      </w:r>
    </w:p>
    <w:p>
      <w:pPr>
        <w:pStyle w:val="Heading2"/>
      </w:pPr>
      <w:r>
        <w:t>Regeste</w:t>
      </w:r>
    </w:p>
    <w:p>
      <w:r>
        <w:t>MAINLEVÉE PROVISOIRE, TITRE DE MAINLEVÉE, SOLIDARITÉ PASSIVE, CAUTIONNEMENT, BAIL À LOYER | 143 CO, 18 al. 1 CO, 253 CO, 492 CO, 82 al. 2 LP, 82 LP</w:t>
      </w:r>
    </w:p>
    <w:p>
      <w:pPr>
        <w:pStyle w:val="Heading2"/>
      </w:pPr>
      <w:r>
        <w:t>Erwägungen</w:t>
      </w:r>
    </w:p>
    <w:p>
      <w:r>
        <w:rPr>
          <w:b/>
        </w:rPr>
        <w:t>E. 30</w:t>
      </w:r>
    </w:p>
    <w:p>
      <w:r>
        <w:t>mars 1911 ; RS 220]). Le créancier peut, à son choix, exiger de tous les débiteurs solidaires ou de l’un d’eux l’exécution intégrale ou partielle de l’obligation (art. 144 al. 1 CO). La solidarité n’est jamais présumée ; elle naît soit par la volonté des parties, soit par la loi (Romy, in Thevenoz/Werro (éd.), Commentaire romand CO I, 2e éd., 2012, n. 5 ad art. 143 CO). Conformément à l’art. 1 al. 2 CO, l’engagement solidaire peut se former par actes concluants ou tacitement. L’engagement solidaire est qualifié de reprise cumulative de dette si l’engagement est pris alors que le débiteur s’est déjà engagé. La reprise cumulative de dette se caractérise par le fait que le reprenant assume une obligation propre et indépendante, en ce sens qu’il reprend la dette d’un tiers personnellement et directement. Elle ne revêt donc pas de caractère accessoire (TF 5A_944/2016 du 31 août 2017 consid. 2.3 ; TF 5A_739/2012 du 17 mai 2013 consid. 8.2.4 et les réf. cit.). Dès lors que celui qui se porte fort assume une obligation indépendante, celle-ci peut exister même si le tiers n'est pas débiteur du bénéficiaire ou si son obligation est nulle ou invalidée (TF 4A_290/2007 et 292/2007 du 10 décembre 2007 consid. 6.1; ATF 125 III 305 consid. 2b, JdT 2000 I 635). Autrement dit, dans un tel contrat, la validité de la promesse n’est pas subordonnée à l’existence d’une obligation à la charge du tiers (TF 5A_696/2007 du 4 février 2008 consid. 3.2). Le cautionnement est le contrat par lequel la caution s'engage envers le créancier principal à garantir le paiement de la dette contractée par un tiers, le débiteur principal (art. 492 al. 1 CO). Le cautionnement présuppose l'existence d'un autre engagement, celui qui doit être garanti. Il constitue une adjonction à cet engagement et en dépend nécessairement pour son existence et son objet ; de nature accessoire, il garantit la solvabilité du débiteur ou l'exécution d'un contrat (TF 5A_944/2016 consid. 2.3 précité ; ATF 129 III 702 consid. 2.1, JdT 2004 I 535 ; ATF 113 II 434 consid. 2a, JdT 1988 I 185 ; ATF 111 II 276 consid. 2b, rés. in JdT 1986 I 255). Le cautionnement, comme la reprise de dette, renforce la position du créancier et repose souvent dans cette mesure sur des considérations identiques. Il diffère cependant quant aux conditions de forme. Alors que le contrat sur lequel repose la solidarité passive n’est soumis à aucune forme (TF 5A_944/2016 consid. 2.3 précité ; ATF 129 III 702 consid. 2.1, JdT 2004 I 5365 ; TF 4C.24/2007 du 26 avril 2007 consid. 5), la déclaration de cautionnement, lorsque la caution est une personne physique et que le cautionnement dépasse la somme de 2'000 fr., doit revêtir la forme authentique, sous peine de nullité (art. 493 al. 2 CO). Pour qualifier un contrat, comme pour l'interpréter, le juge doit recourir en premier lieu à l'interprétation dite subjective, c'est-à-dire rechercher la « réelle et commune intention des parties », le cas échéant empiriquement, sur la base d'indices (art. 18 al. 1 CO ; ATF 131 III 606 consid. 4.1, rés. in JdT 2006 I 126 ; ATF 125 III 305 consid. 2b, JdT 2000 I 635).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131 III 606 précité consid. 4.1, rés. in JdT 2006 I 126 ; ATF 129 III 702 consid. 2.4, JdT 2004 I 535). La délimitation entre le cautionnement et la reprise cumulative de dette est parfois flottante. Du point de vue juridique, il faut partir de l’idée que la dette issue du cautionnement et la dette principale diffèrent par leur objet et leur cause, tandis que celui qui reprend cumulativement une dette s’oblige comme le débiteur primitif, se range à ses côtés en tant que débiteur solidaire. Dans le premier cas, l’obligation a pour cause la garantie que le débiteur principal est solvable alors que, dans le second, la cause réside dans le désintéressement du créancier indépendamment du débiteur. Contrairement à ce qui se passe dans le cautionnement, la sûreté ne constitue pas l’élément essentiel de la cause de l’obligation découlant de la reprise cumulative de dette, même si une telle reprise a toujours un certain effet de garantie (ATF 129 III 702 consid. 2.2, JdT 2004 I 535). Le Tribunal fédéral admet que le juge peut s'écarter d'un texte (en apparence) clair s'il résulte d'autres clauses du contrat, du but poursuivi par les parties ou d'autres circonstances qu'il ne restitue pas le sens de l'accord conclu (TF 4A_145/2012 du 19 septembre 2012 consid. 7.2 et la jurisprudence citée) ; ce principe vaut également pour distinguer le cautionnement (art. 492 ss CO) du porte-fort (art. 111 CO) ou de la reprise cumulative de dette (art. 143 CO). En effet, il serait trop facile d'éluder la protection dont bénéficie la caution (art. 493 CO) s'il suffisait d'employer les termes de « porte-fort », ou de « codébiteur solidaire », dont l'intéressé ne connaît pas la portée (TF 5A_849/2012 du 25 juin 2013 consid. 2.2.1 et les réf. citées). Ainsi, lorsqu'une personne physique promet explicitement un engagement solidaire, elle n'assume l'obligation correspondante que si une condition supplémentaire est réalisée. Il faut que, par suite de sa formation ou de ses activités, cette personne soit rompue aux contrats de sûreté et connaisse le vocabulaire juridique suisse usité dans ce domaine. Sinon, l'accord des parties doit attester que le garant connaissait réellement la portée de son engagement et l'accord doit aussi révéler les motifs qui ont détourné les parties de conclure un cautionnement (ATF 129 III 702 consid. 2.4.2 et 2.4.3 ; TF 5A_739/2012 du 17 mai 2013 consid. 8.2.4). L’interprétation littérale stricte n’est justifiée qu’à l’égard de parties qui sont rompues à l’usage des termes ou possèdent une formation juridique (TF 5A_849/2012 du 25 juin 2013 précité). Doivent être considérées comme versées dans les affaires les sociétés qui s’occupent dans leur pratique quotidienne d’actes d’intercession telles que les groupes d’entreprises actifs sur le plan international ou les instituts bancaires suisses, une reprise cumulative de dette par les banques représentant un fait plutôt rare. De même, les particuliers qui traitent souvent des affaires couplées avec des actes d’intercession en tant qu’administrateur ou directeur doivent admettre que les termes choisis leur soient personnellement opposables, cette règle s’appliquant également à la société qu’ils représentent. De même, les personnes qui jouissent d’une formation juridique acquise en Suisse doivent se laisser opposer le sens objectif que les termes utilisés ont en droit, en particulier si une interprétation contraire conduit à l’invalidité du contrat. Cette règle s’applique également à celui qui s’est fait conseiller lors de la conclusion du contrat par une telle personne s’il est établi que celle-ci l’a éclairé sur la signification des notions employées. En revanche, on ne saurait tenir un particulier pour rompu aux affaires du seul fait qu’il est inscrit au registre du commerce et possède la signature individuelle pour une petite entreprise qui n’a pas affaire à des actes d’intercession dans son activité quotidienne (ATF 129 III 702 consid. 2.4.2, JdT 2004 I 535 ; TF 5A_944/2016 du 31 août 2017 consid. 2.3). Outre ces hypothèses, l'engagement solidaire est encore admis lorsque le garant a un intérêt propre et marqué à l'exécution de l'obligation ou qu'il en retire un avantage, que le créancier a connaissance de cet intérêt et qu'il peut donc percevoir le motif pour lequel le garant se déclare prêt à assumer une obligation identique à celle du débiteur (ATF 129 III 702 consid. 2.6; TF 5A_739/2012 du 17 mai 2013 consid. 8.2.4 ; TF 4A_235/2012 du 26 octobre 2012 consid. 2.1; TF 4A_420/2007 du 19 décembre 2007 consid. 2.5.1 et 2.5.3; TF 4C.24/2007 du 26 avril 2007 consid. 5, publié in SJ 2008 I p. 29; TF 4C.191/1999 du 22 septembre 1999 consid. 1a, publié in SJ 2000 I p. 305). Un intérêt propre existe aussi lorsque le promettant constitue avec le débiteur une société simple et qu'il s'agit de garantir une affaire conclue en vue d'atteindre le but social. En revanche, il ne suffit pas que le reprenant ne tire qu'un vague avantage de l'affaire. Il doit vouloir visiblement s'engager en vertu de la même cause dans le contrat liant le débiteur principal. A cet égard, le seul fait que le reprenant puisse, selon l'inscription au registre du commerce, engager la raison individuelle par sa seule signature est insuffisant (ATF 129 III 702 consid. 2.6). Dans un cas où le crédit ouvert était destiné au fonds de roulement et donc aux opérations d'une société anonyme dont les trois défendeurs étaient actionnaires et administrateurs, le Tribunal fédéral a considéré que l'intérêt personnel et matériel de ces derniers, qui s'étaient engagés en qualité de codébiteurs solidaires, était indiscutable et que, d'un point de vue économique, ils n'intercédaient pas pour un tiers débiteur mais ils agissaient aux fins de leur propre activité commerciale (TF 4A.24/2007 du 26 avril 2007 consid. 5). Il y a indice en faveur d’un engagement indépendant lorsque celui qui s’engage y a un intérêt personnel, plus ou moins équivalent à celui du co-débiteur (ATF 111 II 276) ; de même, si la somme que le garant s’engage à payer ne correspond pas à celle due par le débiteur ou n’est pas fixée par référence à celle-ci (ATF 113 II 434). En cas de garantie indépendante, le garant doit payer aussitôt après l’appel du bénéficiaire, si les conditions formelles telles qu’elles sont précisées dans le texte de la garantie sont réunies (ATF 122 III 321 consid. 4a ; TF 4A_709/2016 du 6 avril 2017 consid. 2.2 et les réf. cit.). En cas de doute sur la nature de l'engagement, le cautionnement a la préférence, compte tenu du but de protection dévolu aux art. 492 ss CO (ATF 129 III 702 consid. 2.5, JdT 2004 I 535; TF 4C.274/2001 du 9 avril 2002 consid. 3 et les réf. citées, SJ 2002 I 574 ; ATF 113 II 434 consid. 2c, JdT 1988 I 185). cc) En l’espèce, le bail litigieux a été signé par la recourante à deux reprises, soit une fois en tant que représentante de la société U.________ Sàrl et une fois en son nom propre. Le contrat précise, aussi bien lors de la désignation de la partie locataire que sous la rubrique signature, que la société et la recourante sont solidairement responsables des obligations découlant du bail. Contrairement à ce que soutient cette dernière, le fait qu’elle était au moment de la signature du contrat, l’unique associée gérante avec signature individuelle de la société suffit pour retenir l’existence d’un intérêt propre et marqué à la conclusion et à l’exécution du contrat (CPF 12 novembre 2021/244 ; CPF 30 août 2018/186). A cet égard, la comparaison avec la pratique bancaire n’est pas pertinente. Le fait que les banques choisiraient le contrat de cautionnement en la forme authentique pour garantir les prêts qu’ils accordent à des entreprises ne signifie pas que l’engagement solidaire soit exclu. Au vu de la jurisprudence rappelée ci-dessus, c’est donc à juste titre que le premier juge a retenu l’existence d’un engagement solidaire. III. En conclusion, le recours doit être rejeté selon le mode procédural de l’art. 322 al. 2 CPC et le prononcé confirmé. Vu le rejet du recours, les frais judiciaires de deuxième instance, arrêtés à 540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