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29 vom 23. Februar 2022</w:t>
      </w:r>
    </w:p>
    <w:p>
      <w:r>
        <w:t>VD Tribunal cantonal, 2022-02-23, FR</w:t>
      </w:r>
    </w:p>
    <w:p>
      <w:r>
        <w:rPr>
          <w:b/>
        </w:rPr>
        <w:t xml:space="preserve">Quelle: </w:t>
      </w:r>
      <w:r>
        <w:t>https://mcp.opencaselaw.ch/entscheid/vd_findinfo_ML___2022___29</w:t>
      </w:r>
    </w:p>
    <w:p>
      <w:r>
        <w:t>FR: VD_FINDINFO ML / 2022 / 29 du 23 février 2022</w:t>
      </w:r>
    </w:p>
    <w:p>
      <w:r>
        <w:t>IT: VD_FINDINFO ML / 2022 / 29 del 23 febbraio 2022</w:t>
      </w:r>
    </w:p>
    <w:p>
      <w:pPr>
        <w:pStyle w:val="Heading2"/>
      </w:pPr>
      <w:r>
        <w:t>Regeste</w:t>
      </w:r>
    </w:p>
    <w:p>
      <w:r>
        <w:t>EURO, MONNAIE ÉTRANGÈRE, DÉCISION ÉTRANGÈRE, CONVERSION{CALCUL}, COURS DE CONVERSION, RÉQUISITION DE POURSUITE, REQUÊTE DE MAINLEVÉE | 67 al. 1 ch. 3 LP, 80 LP</w:t>
      </w:r>
    </w:p>
    <w:p>
      <w:pPr>
        <w:pStyle w:val="Heading2"/>
      </w:pPr>
      <w:r>
        <w:t>Erwägungen</w:t>
      </w:r>
    </w:p>
    <w:p>
      <w:r>
        <w:rPr>
          <w:b/>
        </w:rPr>
        <w:t>E. 5</w:t>
      </w:r>
    </w:p>
    <w:p>
      <w:r>
        <w:t>novembre 2021. Le recours, au sens des art. 319 ss CPC (Code de procédure civile ; RS 272), doit être introduit auprès de l’instance de recours dans les dix jours à compter de la notification de la décision motivée (art. 321 al. 2 CPC). Le délai n’est observé que lorsque l’acte est remis au plus tard le dernier jour du délai soit au tribunal soit à l’attention de ce dernier, à la poste suisse ou à une représentation diplomatique ou consulaire suisse (art. 143 al. 1 CPC). La jurisprudence a précisé qu’en cas de dépôt auprès d’une poste étrangère, le délai ne sera respecté que pour autant qu’il ne soit pas déjà échu au moment de l’arrivée effective de l’acte au tribunal, ou au moins que l’envoi soit passé de la poste étrangère à la poste suisse avant l’échéance dudit délai (ATF 92 II 115 ; TF 4A_97/2019 du 11 mars 2019 ; Tappy, in Bohnet et alii, Commentaire romand, Code de procédure civile, 2 e éd, n. 13 ad art. 143 CPC et les références citées). En l’espèce, l’acte de recours a été remis à la poste suisse le 15 novembre 2021, dans le délai de recours de dix jours de l’art. 321 al. 2 CPC. Il a donc été formé en temps utile. Répondant en outre à l’exigence de motivation de l’art. 321 al. 1 CPC, le recours est recevable. b) Les pièces nouvelles produites à l’appui du recours, respectivement adressées au premier juge après la reddition du prononcé attaqué, sont en revache irrecevables en vertu de l’art. 326 al. 1 CPC. Le tribunal de deuxième instance doit en effet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(CPF 29 octobre 2020/270 ; CPF 14 octobre 2019/ 209 ; CPF 29 mars 2018/39 ; CPF 17 novembre 2017/271). II. La requête de mainlevée est fondée sur trois décisions françaises : un jugement rendu par le Tribunal de commerce de Rennes et deux ordonnances rendues par la Cour d’appel de Rennes. La poursuivante a conclu au prononcé de la mainlevée définitive de l’opposition formée au commandement de payer à concur-rence de 61'000 euros, 1'000 euros, 1'500 euros, 2'000 euros et 1’058.85 euros. a) aa) Aux termes de l'art. 80 al. 1 LP (loi fédérale sur la poursuite pour dettes et la faillite ; RS 281.1), le créancier qui est au bénéfice d’un jugement exécutoire peut requérir du juge la mainlevée définitive de l’opposition. Cette norme englobe tant les jugements suisses que les jugements étrangers (ATF 139 III 135 consid. 4.5.1). 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Le juge de la mainlevée doit seulement décider si cette obligation en ressort. Certes, il peut prendre en considération à cette fin d'autres documents, dans la mesure où le titre y renvoie. En revanche, il n'a ni à revoir, ni à interpréter le titre qui lui est soumis (TF 5D_178/2020 du 26 janvier 2021 consid. 4.3.2 ; ATF 143 III 564 consid. 4.3-4.4 et les références ; TF 5A_183/2018 du 31 août 2018 consid. 6.1.2). bb) Le créancier au bénéfice d'un jugement étranger portant condam-nation à payer une somme d'argent peut introduire en Suisse une poursuite et, en cas d'opposition du débiteur, requérir la mainlevée de l'opposition. Dans le cadre de cette procédure, le juge de la mainlevée se prononcera à titre incident sur le caractère exécutoire dudit jugement ; s'il le déclare exécutoire, ce magistrat lèvera alors l’opposition au commandement de payer (ATF 143 III 404 consid. 5.2.1 et les références citées). b) aa) A teneur de l’art. 67 al. 1 ch. 3 LP (loi fédérale du 11 avril 1889 sur la poursuite pour dettes et la faillite ; RS 281.1),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(TF 5A_559/2008 du 21 novembre 2008 ; ATF 134 III 151 consid. 2.3 et les références citées). La conversion se fait au cours de l’offre des devises du jour de la réquisition de poursuite (ATF 137 III 623 consid. 3 ; 135 III 88 consid. 4.1 ; 51 III 180 consid. 4). Le taux de conversion des monnaies est un fait notoire, qui ne doit être ni allégué ni prouvé (ATF 137 III 623 consid. 3 et 135 III 88 consid. 4.1 précités). Le juge de la mainlevée doit s’assurer que la créance réclamée équivaut à la créance résultant du jugement, en vérifiant que la conversion a été correctement opérée à la date de la réquisition de poursuite. Cette vérification s’inscrit dans le cadre de l’examen d’office de l’identité entre le montant réclamé en poursuite et celui dû en vertu du titre présenté (Abbet, in Abbet/Veuillet (éd.), La mainlevée de l’opposition, Berne 2017, n. 76 ad art. 80 LP). Ainsi, indépendamment de la prise de position du poursuivi, le juge ne peut se fonder sur une simple allégation, même non contestée, pour connaître la date de la réquisition de poursuite. Le poursuivant doit prouver cette date par pièce, de la même manière qu’il doit établir l’existence matérielle et le caractère exécutoire du jugement qu’il invoque comme titre de mainlevée d’opposition (CPF 21 juillet 2021/147 consid. 2 ; CPF 17 mars 2021/27 consid. 3). bb) Il découle de l'art. 67 al. 1 ch. 3 LP que, contrairement à ce qui vaut pour une condamnation (pécuniaire) au fond, la mainlevée ne peut être accordée que pour un montant exprimé en francs suisses (TF 5A_422/2016 du 3 février 2017 consid. 1 et les références citées). Ainsi, lorsque la somme allouée par le juge étranger n'est pas libellée en francs suisses, c'est dans cette dernière monnaie que doit être rédigée la requête de mainlevée et prononcée la mainlevée de l’opposition (5A_589/2012 du 13 décembre 2012 consid. 2.2). Une requête de mainlevée dont les conclusions ne sont pas formulées en francs suisses est irrecevable (Abbet, op. cit., n. 67 ad art. 84 LP). c) En l’espèce, la recourante conclut à l'octroi de la mainlevée définitive à concurrence de plusieurs montants, tous exprimés en euros. Au vu des considé-rants qui précèdent, sa requête de mainlevée aurait donc dû être déclarée irrecevable. A supposer les conclusions formulées en francs suisses et la requête de mainlevée recevable, celle-ci aurait de toute manière dû être rejetée. En effet, comme l’a relevé à juste titre le premier juge, la poursuivante n’a pas établi la date à laquelle elle a déposé sa réquisition de poursuite, cette pièce ne figurant pas au dossier. Or, contrairement à ce qu’elle prétend, c’est bien à elle qu’il appartenait d’établir cette date par pièces, afin de permettre au juge de s’assurer que les créances réclamées en poursuite étaient identiques à celles résultant des titres produits, en vérifiant que la conversion a été correctement opérée à la date de la réquisition de poursuite. Vu ce qui précède, la question de la reconnaissance et du caractère exécutoire des décisions judiciaires françaises invoquées comme titres de mainlevée définitive peut rester ouverte. III . En conclusion, le recours, manifestement infondé, doit être rejeté et le prononcé confirmé . Les frais judiciaires de deuxième instance, arrêtés à 720 fr., sont mis à la charge de la recourante, qui succombe (art. 106 al. 1 CPC). Il n’est pas alloué de dépens, l’intimé n’ayant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