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130 vom 18. Oktober 2022</w:t>
      </w:r>
    </w:p>
    <w:p>
      <w:r>
        <w:t>VD Tribunal cantonal, 2022-10-18, FR</w:t>
      </w:r>
    </w:p>
    <w:p>
      <w:r>
        <w:rPr>
          <w:b/>
        </w:rPr>
        <w:t xml:space="preserve">Quelle: </w:t>
      </w:r>
      <w:r>
        <w:t>https://mcp.opencaselaw.ch/entscheid/vd_findinfo_ML___2022___130</w:t>
      </w:r>
    </w:p>
    <w:p>
      <w:r>
        <w:t>FR: VD_FINDINFO ML / 2022 / 130 du 18 octobre 2022</w:t>
      </w:r>
    </w:p>
    <w:p>
      <w:r>
        <w:t>IT: VD_FINDINFO ML / 2022 / 130 del 18 ottobre 2022</w:t>
      </w:r>
    </w:p>
    <w:p>
      <w:pPr>
        <w:pStyle w:val="Heading2"/>
      </w:pPr>
      <w:r>
        <w:t>Regeste</w:t>
      </w:r>
    </w:p>
    <w:p>
      <w:r>
        <w:t>MAINLEVÉE DÉFINITIVE, TITRE DE MAINLEVÉE, DÉCISION | 80 al. 2 ch. 2 LP</w:t>
      </w:r>
    </w:p>
    <w:p>
      <w:pPr>
        <w:pStyle w:val="Heading2"/>
      </w:pPr>
      <w:r>
        <w:t>Erwägungen</w:t>
      </w:r>
    </w:p>
    <w:p>
      <w:r>
        <w:rPr>
          <w:b/>
        </w:rPr>
        <w:t>E. 12</w:t>
      </w:r>
    </w:p>
    <w:p>
      <w:r>
        <w:t>juin 2018/77). Elles sont dès lors recevables. Les déterminations de l'intimée, déposées dans le délai de l'art. 322 al. 2 CPC, sont également recevables. Les pièces produites à l'appui de ses déterminations figurent déjà au dossier de première instance, de sorte qu'elles sont recevables. La réplique spontanée déposée pour répondre aux arguments de la réponse est également recevable (ATF 142 III 48 consid. 4.1.1). II. La recourante fait en substance valoir qu'en application des art. 39 al. 3 LICom (Loi vaudoise du 5 décembre 1956 sur les impôts communaux ; BLV 650.11) et 88 CDPJ (Code de droit privé judiciaire vaudois du 12 janvier 2010 ; BLV 211.02), ses créances relatives aux impôts fonciers 2018 à 2020 sont garanties par une hypothèque légale, que les décisions de prélèvement de l'impôt foncier produites ont été rendues sur la base de l'art. 1 al. 1 let. e LICom et d'arrêtés d'imposition valablement adoptés, que ces derniers avaient force de loi et auraient dû être appliqués d'office par le premier juge et qu'en conséquence la mainlevée aurait dû être octroyée. a) Selon l'art. 80 LP, le créancier au bénéfice d'un jugement exécutoire peut requérir du juge la mainlevée définitive de l'opposition (al. 1) ; sont assimilées aux jugements exécutoires, notamment, les décisions des autorités administratives suisses (al. 2 ch. 2). aa) Une décision est un acte de souveraineté individuel et concret, qui s'adresse à un particulier, et qui règle de manière unilatérale et contraignante, à titre formateur ou constatatoire, un rapport juridique concret relevant du droit administratif (art. 5 PA [loi fédérale du 20 décembre 1968 sur la procédure administrative ; RS 172.021] ; ATF 139 V 72 consid. 2.2.1 ; ATF 135 II 38 consid. 4.3). En d'autres termes, elle constitue un acte étatique qui touche la situation juridique de l'intéressé, l'astreignant à faire, à s'abstenir ou à tolérer quelque chose, ou qui règle d'une autre manière obligatoire ses rapports juridiques avec l'Etat (ATF 139 V 72 consid. 2.2.1 ; ATF 135 II 38 consid. 4.3 ; ATF 135 II 22 consid. 1.2 ; ATF 121 II 473 consid. 2a).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[Constitution fédérale du 18 avril 1999 ; RS 101]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 er mai 2002 ; CPF 12 novembre 2021/225 ; Staehelin, in Staehelin/Bauer/Staehelin [éd.], Basler Kommentar, Bundesgesetz über Schuldbetreibung und Konkurs [SchKG] I , 3 e éd., 2021, n. 120 ad art. 80 LP ; Panchaud/Caprez, La mainlevée d’opposition, § 122). Constitue ainsi une décision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op. cit., n. 132 ad art. 80 LP).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17 mars 2022/25 ; CPF 11 avril 2016/120 ; CPF 26 octobre 2012/421; CPF 31 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 e éd., Berne 2012, nn. 2.5 et 2.5.9) qui s'incorpore au droit (ATF 132 III 285 consid. 1.3, JdT 2008 I 329), le fardeau de la preuve mis à la charge du poursuivant n'est pas compatible avec le principe iura novit curia ,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trois factures d'un montant de 504 fr. chacune, soit 1'512 fr. au total. Ces factures avaient été adressées à l'intimée les 14 février 2019, 19 décembre 2019 et 16 octobre 2020 et l'invitaient à payer l'impôt foncier des années 2018 à 2020 dans un délai de 30 jours. Elles mentionnaient en outre toutes l’existence d’une voie de recours. L'intimée, qui ne conteste pas les avoir reçues, a pu comprendre aisément qu'il s'agissait des décisions administratives : elles étaient établies par une corporation de droit public, portaient sur une créance de droit public et étaient munies d'une voie de droit. Ces factures ont été attestées définitives et exécutoires faute de recours, étant d'ailleurs précisé que l'intimée ne soutient pas avoir recouru contre elles. Dans ces conditions, les factures adressées à l'intimée valaient décisions administratives exécutoires et, partant, titre à la mainlevée définitive pour la créance de base de 1'512 francs. Au vu des conditions qui précèdent et en l'absence de contestation par la partie poursuivie de l'existence d'une base légale, il n'était pas nécessaire d'examiner si les décisions de taxation reposaient sur un règlement ni, a fortiori , rejeter la requête de mainlevée pour le motif que la poursuivante n'avait pas spontanément produit la base réglementaire. La mainlevée définitive aurait ainsi pu être prononcée même en l'absence de règlement ou de loi sur l'impôt foncier. Le rejet de la requête de mainlevée doit toutefois être confirmé pour un autre motif. III. a) Aux termes de l’art 39 al. 3 LICom, le paiement des impôts communaux est garanti par une hypothèque légale privilégiée, pour la part qui se rapporte à un immeuble, conformément aux dispositions du Code de droit privé judiciaire vaudois. Selon l’art. 88 al. 1 CDPJ, l’hypothèque légale prend naissance avec la créance qu’elle garantit. Elle grève l’immeuble à raison duquel la créance existe. S’il y a plusieurs immeubles, le gage est collectif. Lorsque, dans la poursuite en réalisation de gage intenté par une autorité cantonale au bénéfice d’une hypothèque légale (directe) en garantie d’une créance de droit public, l’opposition porte tant sur la créance que sur le gage (ce qui est présumé : art. 85 ORFI ORFI [Ordonnance du Tribunal fédéral sur la réalisation forcée des immeubles du 23 avril 1920; RS 281.40]), la collectivité doit, pour obtenir la mainlevée, produire non seulement une décision portant sur la créance, mais également une décision exécutoire constatant l’existence et le montant du gage et désignant l’immeuble grevé. Il peut s’agir d’une décision distincte; s’il s’agit de la même décision que celle fixant la créance, la décision doit énoncer explicitement que la créance est garantie par hypothèque (Abbet, op. cit., n. 138 ad art. 80 LP ; Staehelin, op. cit., n. 113 ad art. 80 LP et les réf. citées). Si le créancier n’établit pas qu’il est au bénéfice d’un titre de mainlevée pour la créance garantie ainsi que pour le montant du gage, l’opposition doit être maintenue ( Staehelin, op. cit., n. 166 ad art. 82 LP ; Dominik Vock, Kurzkommentar, n° 34 ad 82 LP). b) En l'espèce, la recourante a introduit une poursuite en réalisation de gage immobilier. L’opposition formée par l’intimée porte aussi bien sur la créance que sur le droit de gage. Au vu des principes rappelés ci-dessus, la recourante ne pouvait ainsi faire écarter l’opposition que si elle établissait être au bénéfice d’un titre de mainlevée pour la créance garantie ainsi que pour le montant du gage. Or, les bordereaux d’impôts fonciers versés au dossier ne mentionnent pas que la créance est garantie par une hypothèque. La recourante n’a par ailleurs pas produit de décisions distinctes constatant l’existence de ce gage et son montant. Il s’ensuit que la requête de mainlevée devait donc bien être rejetée, et ce indépendamment de la question de savoir si le prélèvement d’un impôt foncier reposait sur une base légale ou réglementaire suffisante. IV. La mainlevée ne pouvait pas non plus être prononcée s'agissant des frais de rappel, à hauteur de 75 francs. D'une part, cette créance n'était que l'accessoire de la dette principale, pour laquelle la mainlevée ne peut pas être prononcée. D'autre part, cette créance accessoire devait elle aussi faire l'objet d'une décision ( TF 5A_825/2021 du 31 mars 2022, destiné à la publication, consid. 4.2.4), ce qui n'a pas été le cas. V. Vu ce qui précède, le recours doit être rejeté et le prononcé confirmé. Les frais judiciaires de deuxième instance, arrêtés à 225 fr., doivent être mis à la charge de la recourante, qui succombe (art. 106 al. 1 CPC). L’intimée ayant procédé seule,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