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100 vom 26. Juli 2022</w:t>
      </w:r>
    </w:p>
    <w:p>
      <w:r>
        <w:t>VD Tribunal cantonal, 2022-07-26, FR</w:t>
      </w:r>
    </w:p>
    <w:p>
      <w:r>
        <w:rPr>
          <w:b/>
        </w:rPr>
        <w:t xml:space="preserve">Quelle: </w:t>
      </w:r>
      <w:r>
        <w:t>https://mcp.opencaselaw.ch/entscheid/vd_findinfo_ML___2022___100</w:t>
      </w:r>
    </w:p>
    <w:p>
      <w:r>
        <w:t>FR: VD_FINDINFO ML / 2022 / 100 du 26 juillet 2022</w:t>
      </w:r>
    </w:p>
    <w:p>
      <w:r>
        <w:t>IT: VD_FINDINFO ML / 2022 / 100 del 26 luglio 2022</w:t>
      </w:r>
    </w:p>
    <w:p>
      <w:pPr>
        <w:pStyle w:val="Heading2"/>
      </w:pPr>
      <w:r>
        <w:t>Regeste</w:t>
      </w:r>
    </w:p>
    <w:p>
      <w:r>
        <w:t>DROIT D'ÊTRE ENTENDU, NOTIFICATION IRRÉGULIÈRE, RECTIFICATION DE LA DÉCISION, DÉLAI DE RECOURS, OBSERVATION DU DÉLAI, MAINLEVÉE PROVISOIRE | 29 al. 2 Cst., 136 CPC (CH), 138 al. 1 CPC (CH), 138 al. 3 let. a CPC (CH), 239 al. 2 CPC (CH), 334 al. 1 CPC (CH), 334 al. 3 CPC (CH), 334 CPC (CH)</w:t>
      </w:r>
    </w:p>
    <w:p>
      <w:pPr>
        <w:pStyle w:val="Heading2"/>
      </w:pPr>
      <w:r>
        <w:t>Erwägungen</w:t>
      </w:r>
    </w:p>
    <w:p>
      <w:r>
        <w:rPr>
          <w:b/>
        </w:rPr>
        <w:t>E. 23</w:t>
      </w:r>
    </w:p>
    <w:p>
      <w:r>
        <w:t>mai 2022. V. En conclusion, le recours doit être admis et le prononcé annulé, la cause étant renvoyée au l’autorité précédente pour nouvelle décision dans le sens des considérants. Au regard de la nature procédurale des vices examinés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Les frais judiciaires de deuxième instance, arrêtés à 180 fr., sont laissés à la charge de l’Etat (art. 107 al. 2 CO).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