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63 vom 6. April 2021</w:t>
      </w:r>
    </w:p>
    <w:p>
      <w:r>
        <w:t>VD Tribunal cantonal, 2021-04-06, FR</w:t>
      </w:r>
    </w:p>
    <w:p>
      <w:r>
        <w:rPr>
          <w:b/>
        </w:rPr>
        <w:t xml:space="preserve">Quelle: </w:t>
      </w:r>
      <w:r>
        <w:t>https://mcp.opencaselaw.ch/entscheid/vd_findinfo_ML___2021___63</w:t>
      </w:r>
    </w:p>
    <w:p>
      <w:r>
        <w:t>FR: VD_FINDINFO ML / 2021 / 63 du 6 avril 2021</w:t>
      </w:r>
    </w:p>
    <w:p>
      <w:r>
        <w:t>IT: VD_FINDINFO ML / 2021 / 63 del 6 aprile 2021</w:t>
      </w:r>
    </w:p>
    <w:p>
      <w:pPr>
        <w:pStyle w:val="Heading2"/>
      </w:pPr>
      <w:r>
        <w:t>Regeste</w:t>
      </w:r>
    </w:p>
    <w:p>
      <w:r>
        <w:t>CONTRAT DE FRANCHISAGE, CONTRE-PRESTATION, EXÉCUTION DE L'OBLIGATION | 82 LP</w:t>
      </w:r>
    </w:p>
    <w:p>
      <w:pPr>
        <w:pStyle w:val="Heading2"/>
      </w:pPr>
      <w:r>
        <w:t>Erwägungen</w:t>
      </w:r>
    </w:p>
    <w:p>
      <w:r>
        <w:rPr>
          <w:b/>
        </w:rPr>
        <w:t>E. 1</w:t>
      </w:r>
    </w:p>
    <w:p>
      <w:r>
        <w:t>et 2 CPC), le recours est recevable. II. a) Selon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Constitue une reconnaissance de dette au sens de l'art. 82 al. 1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Un contrat écrit justifie en principe la mainlevée provisoire de l'opposition pour la somme d'argent incombant au poursuivi lorsque les conditions d'exigibilité de la dette sont établies (arrêt 5A_465/2014 du 20 août 2014 consid. 7.2.1.2) et, en particulier, dans les contrats bilatéraux, lorsque le poursuivant prouve avoir exécuté les prestations dont dépend l'exigibilité (arrêt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vol. I, 1999, n. 45 ad art. 82 LP), c'est-à-dire s'il a exécuté ou offert d'exécuter sa propre prestation en rapport d'échange (cf. ATF 116 III 72 ; cf. TF 5A_326/2011 consid. 3.3 ; CPF 9 novembre 2020/281 consid. 2a).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 ATF 145 III 20 consid. 4.1.2 ; ATF 142 III 720 consid. 4.1). Cela étant, la jurisprudence a précisé que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Il incombe au créancier poursuivant de justifier qu'il dispose d'un tel titre (ATF 145 III 20 consid. 4.3.2 in fine). b) Le contrat du 24 décembre 2018 invoqué à l’appui de la requête de mainlevée porte la signature du poursuivi qui s’est engagé à payer au poursuivant un loyer mensuel de 4'200 francs. Ce contrat constitue en principe un titre de mainlevée provisoire au sens de l’art. 82 al. 1 LP pour les montants réclamés en poursuite. Le recourant reproche à l’autorité précédente d’avoir prononcé la mainlevée provisoire des oppositions alors qu’il avait contesté l’exécution par l’intimé de sa contre-prestation. Se fondant sur la jurisprudence précitée, il rappelle avoir invoqué l’exception non adimpleti contractus et avoir refusé de verser les dernières redevances car il estimait qu’il y avait un défaut de la part de l’intimé dans l’exécution de ses contre-prestations. L’autorité précédente aurait donc dû considérer, selon le recourant, qu’il avait contesté l’exécution de la contre-prestation du contrat de franchise par l’intimé et ne pas accorder à ce dernier la mainlevée. Le recourant a certes contesté l’exécution par l’intimé de sa contre-prestation, estimant que celui-ci n’avait pas apporté « la moindre plus-value au contrat de franchise, se contentant de mettre à disposition des fournitures et un équipement désuet selon un inventaire signé les parties » (recours, p. 2). Il invoque à cet égard un « large devoir d’information lors de la formation du contrat » ou encore « la transmission du savoir-faire nécessaire pour l’exploitation du concept du franchiseur ». Reste que le contrat conclu entre les parties ne prévoit pas de telles obligations. Celles-ci ne sauraient, dans le silence du contrat, résulter du seul intitulé du contrat choisi par les parties - soit un contrat « de franchise » - et de ce que certains auteurs estiment qu’un tel contrat, innomé (TF 4A_148/2011 du 8 septembre 2011 consid. 4.1), doit prévoir. Le contrat conclu entre les parties ne prévoit en effet pas de  « know-how » que l’intimé se serait engagé à fournir au recourant. En l’espèce, ce n’est ainsi pas que les prestations invoquées par le recourant n’ont pas été fournies par l’intimé, c’est qu’elles n’étaient déjà pas dues à la lecture du contrat passé entre les parties. Leur non-fourniture ne saurait dès lors faire obstacle à la mainlevée requise par l’intimé. Que le recourant estime que les prestations dues contractuellement par l’intimé ne justifient pas, elles, les prestations qu’il a fournies, ressort de l’équilibre du contrat, dont l’examen échappe à la compétence du juge de la mainlevée. Un tel moyen n’est pas propre non plus, dans ces conditions, à enlever au contrat sa qualité de titre de mainlevée provisoire au sens de l’art. 82 al. 1 LP. Ce qui précède clôt le débat et rend sans objet les griefs du recourant sur la valeur à donner à la reconnaissance de dette du 24 décembre 2018. Il s’ensuit que c’est à juste titre que la mainlevée provisoire aux oppositions du recourant a été prononcée. III. Le recours, manifestement mal fondé, doit ainsi être rejeté et le prononcé entrepris confirmé. Les frais judiciaires de deuxième instance, arrêtés à 540 fr., sont mis à la charge du recourant, qui succombe (art. 106 al. 1 CPC). Il n’y a pas lieu à l’allocation de dépens, l’intimé n’ayant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