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2021 / 211 vom 28. Oktober 2021</w:t>
      </w:r>
    </w:p>
    <w:p>
      <w:r>
        <w:t>VD Tribunal cantonal, 2021-10-28, FR</w:t>
      </w:r>
    </w:p>
    <w:p>
      <w:r>
        <w:rPr>
          <w:b/>
        </w:rPr>
        <w:t xml:space="preserve">Quelle: </w:t>
      </w:r>
      <w:r>
        <w:t>https://mcp.opencaselaw.ch/entscheid/vd_findinfo_ML___2021___211</w:t>
      </w:r>
    </w:p>
    <w:p>
      <w:r>
        <w:t>FR: VD_FINDINFO ML / 2021 / 211 du 28 octobre 2021</w:t>
      </w:r>
    </w:p>
    <w:p>
      <w:r>
        <w:t>IT: VD_FINDINFO ML / 2021 / 211 del 28 ottobre 2021</w:t>
      </w:r>
    </w:p>
    <w:p>
      <w:pPr>
        <w:pStyle w:val="Heading2"/>
      </w:pPr>
      <w:r>
        <w:t>Regeste</w:t>
      </w:r>
    </w:p>
    <w:p>
      <w:r>
        <w:t>MAINLEVÉE PROVISOIRE, CLAUSE PÉNALE, RÉDUCTION{EN GÉNÉRAL}, DROIT D'ÊTRE ENTENDU, MOTIVATION DE LA DÉCISION, MOTIVATION DE LA DEMANDE, CONDITION DE RECEVABILITÉ | 160 CO, 163 al. 3 CO, 29 al. 2 Cst., 82 al. 1 LP, 82 LP, 321 al. 1 CPC (CH)</w:t>
      </w:r>
    </w:p>
    <w:p>
      <w:pPr>
        <w:pStyle w:val="Heading2"/>
      </w:pPr>
      <w:r>
        <w:t>Erwägungen</w:t>
      </w:r>
    </w:p>
    <w:p>
      <w:r>
        <w:rPr>
          <w:b/>
        </w:rPr>
        <w:t>E. 1</w:t>
      </w:r>
    </w:p>
    <w:p>
      <w:r>
        <w:t>CO ; TF 4A_227/2020 du 28 janvier 2021 consid. 3.1.1 et les références citées). d) Au vu de ce qui précède, les moyens du recourant doivent être rejetés dans la mesure où ils sont recevables. III. En conclusion, le recours, manifestement mal fondé, doit être rejeté et le prononcé confirmé. Vu le rejet du recours, les frais judiciaires de deuxième instance, arrêtés à 720 fr. (art. 48 et 61 OELP [ordonnance du 23 septembre 1996 des émolument perçus en application de la LP ; RS 281.35]), doivent être mis à la charge du recourant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