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2 vom 30. Dezember 2020</w:t>
      </w:r>
    </w:p>
    <w:p>
      <w:r>
        <w:t>VD Tribunal cantonal, 2020-12-30, FR</w:t>
      </w:r>
    </w:p>
    <w:p>
      <w:r>
        <w:rPr>
          <w:b/>
        </w:rPr>
        <w:t xml:space="preserve">Quelle: </w:t>
      </w:r>
      <w:r>
        <w:t>https://mcp.opencaselaw.ch/entscheid/vd_findinfo_ML___2021___2</w:t>
      </w:r>
    </w:p>
    <w:p>
      <w:r>
        <w:t>FR: VD_FINDINFO ML / 2021 / 2 du 30 décembre 2020</w:t>
      </w:r>
    </w:p>
    <w:p>
      <w:r>
        <w:t>IT: VD_FINDINFO ML / 2021 / 2 del 30 dicembre 2020</w:t>
      </w:r>
    </w:p>
    <w:p>
      <w:pPr>
        <w:pStyle w:val="Heading2"/>
      </w:pPr>
      <w:r>
        <w:t>Regeste</w:t>
      </w:r>
    </w:p>
    <w:p>
      <w:r>
        <w:t>MAINLEVÉE PROVISOIRE, TITRE DE MAINLEVÉE, DROIT D'EMPTION, EXIGIBILITÉ, CONTRAT BILATÉRAL PARFAIT, CONTRE-PRESTATION, OFFRE EFFECTIVE | 82 al. 1 LP</w:t>
      </w:r>
    </w:p>
    <w:p>
      <w:pPr>
        <w:pStyle w:val="Heading2"/>
      </w:pPr>
      <w:r>
        <w:t>Erwägungen</w:t>
      </w:r>
    </w:p>
    <w:p>
      <w:r>
        <w:rPr>
          <w:b/>
        </w:rPr>
        <w:t>E. 3</w:t>
      </w:r>
    </w:p>
    <w:p>
      <w:r>
        <w:t>Enfin, les recourants invoquent un arrêt du Tribunal fédéral non publié (TF 5A_365/2007). Or, cet arrêt concerne un droit de préemption et non un droit d’emption, et il n’en ressort pas que la question de l’art. 82 CO avait été soulevée, étant précisé que la jurisprudence du Tribunal fédéral sur l’exception d’inexécution a évolué, et qu’à l’époque, elle n’analysait pas la fourniture de sa prestation par le créancier comme une exigence mise à l’admission d’un contrat bilatéral parfait comme titre à la mainlevée provisoire mais plutôt comme ressortissant d’un moyen libératoire au sens de l’art. 82 al. 2 LP (pour un résumé de l’évolution de la jurisprudence cf. ATF 145 III 20 consid. 4.3.1).</w:t>
      </w:r>
    </w:p>
    <w:p>
      <w:r>
        <w:rPr>
          <w:b/>
        </w:rPr>
        <w:t>E. 4</w:t>
      </w:r>
    </w:p>
    <w:p>
      <w:r>
        <w:t>En conclusion, je suis d’avis que le recours aurait dû être entièrement rejeté et que le prononcé attaqué aurait dû être pleinement confirmé. Pour le second montant en poursuite, le rejet du recours devrait avoir lieu par substitution de motifs. Fabienne Byrde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