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18 vom 30. Dezember 2020</w:t>
      </w:r>
    </w:p>
    <w:p>
      <w:r>
        <w:t>VD Tribunal cantonal, 2020-12-30, FR</w:t>
      </w:r>
    </w:p>
    <w:p>
      <w:r>
        <w:rPr>
          <w:b/>
        </w:rPr>
        <w:t xml:space="preserve">Quelle: </w:t>
      </w:r>
      <w:r>
        <w:t>https://mcp.opencaselaw.ch/entscheid/vd_findinfo_ML___2021___18</w:t>
      </w:r>
    </w:p>
    <w:p>
      <w:r>
        <w:t>FR: VD_FINDINFO ML / 2021 / 18 du 30 décembre 2020</w:t>
      </w:r>
    </w:p>
    <w:p>
      <w:r>
        <w:t>IT: VD_FINDINFO ML / 2021 / 18 del 30 dicembre 2020</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30.12.2020 ML / 2021 / 18</w:t>
      </w:r>
    </w:p>
    <w:p>
      <w:r>
        <w:t>ACTE DE RECOURS, MOTIVATION DE LA DEMANDE, DÉCISION D'IRRECEVABILITÉ | 321 al. 1 CPC (CH)</w:t>
      </w:r>
    </w:p>
    <w:p>
      <w:r>
        <w:t>TRIBUNAL CANTONAL KC20.,012643-201682 352 Cour des poursuites et faillites ________________________________________________ Arrêt du 30 décembre 2020 __________________ Composition :              M. Maillard , président Mmes Byrde et Giroud Walther, juges Greffier : Mme              Joye ***** Art. 321 al. 1 CPC Vu le prononcé rendu sous forme de dispositif le 6 juillet 2020 par le Juge de paix du district de Lausanne, dans la poursuite n° 9'347'794 de l’Office des poursuites du même district, portant sur les montants de 150 fr. plus intérêt à 3% l’an dès le 9 mai 2019 et de 0 fr. 90 sans intérêt, exercée contre Z.________ , à Lausanne, à l’instance de la Confédération suisse , représentée par l’ Office d’impôt des personnes morales , à Yverdon-les-Bains, prononçant la mainlevée définitive de l’opposition (I) arrêtant à 90 fr. les frais judiciaires, compensés avec l’avance de frais de la poursuivante (II), les mettant à la charge de la poursuivie (III) et disant que cette dernière rembourserait à la poursuivante son avance de frais à concurrence de 90 fr., sans allocation de dépens pour le surplus (IV),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qu’il convient en premier lieu de constater que les conclusions formulées dans l’acte de recours visent l’Etat de Vaud et non la partie poursuivante, qui est la Confédération suisse, que pour ce premier motif déjà, le recours est irrecevable, que par ailleurs, la recourante ne conclut pas au rejet de la requête de mainlevée, mais à la suspension du « remboursement de la somme due à l’Etat de Vaud » et cela « jusqu’au jour du Jugement dans la plainte pénale », que cette conclusion est irrecevable, n’étant pas motivée, en fait ou en droit,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 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la poursuivante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également pour ce motif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 nt : La greffière : Du L'arrêt qui précède, dont la rédaction a été approuvée à huis clos, est notifié, par l'envoi de photocopies, à : ‑ Z.________, ‑ Office d’impôt des personnes morales (pour la Confédération suisse). La Cour des poursuites et faillites considère que la valeur litigieuse est inconnue, mais d’au plus de 150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