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171 vom 15. September 2021</w:t>
      </w:r>
    </w:p>
    <w:p>
      <w:r>
        <w:t>VD Tribunal cantonal, 2021-09-15, FR</w:t>
      </w:r>
    </w:p>
    <w:p>
      <w:r>
        <w:rPr>
          <w:b/>
        </w:rPr>
        <w:t xml:space="preserve">Quelle: </w:t>
      </w:r>
      <w:r>
        <w:t>https://mcp.opencaselaw.ch/entscheid/vd_findinfo_ML___2021___171</w:t>
      </w:r>
    </w:p>
    <w:p>
      <w:r>
        <w:t>FR: VD_FINDINFO ML / 2021 / 171 du 15 septembre 2021</w:t>
      </w:r>
    </w:p>
    <w:p>
      <w:r>
        <w:t>IT: VD_FINDINFO ML / 2021 / 171 del 15 settembre 2021</w:t>
      </w:r>
    </w:p>
    <w:p>
      <w:pPr>
        <w:pStyle w:val="Heading2"/>
      </w:pPr>
      <w:r>
        <w:t>Regeste</w:t>
      </w:r>
    </w:p>
    <w:p>
      <w:r>
        <w:t>MAINLEVÉE PROVISOIRE, TITRE DE MAINLEVÉE, RECONNAISSANCE DE DETTE, CONDITION SUSPENSIVE, PREUVE DE FAITS NÉGATIFS, DÉLAI, PROLONGATION DU DÉLAI, DROIT D'ÊTRE ENTENDU, DROIT DE S'EXPLIQUER, RÉPLIQUE | 8 CC, 151 CO, 29 al. 2 Cst., 82 al. 1 LP, 82 al. 2 LP, 82 LP, 144 al. 2 CPC (CH), 223 al. 1 CPC (CH), 53 CPC (CH)</w:t>
      </w:r>
    </w:p>
    <w:p>
      <w:pPr>
        <w:pStyle w:val="Heading2"/>
      </w:pPr>
      <w:r>
        <w:t>Erwägungen</w:t>
      </w:r>
    </w:p>
    <w:p>
      <w:r>
        <w:rPr>
          <w:b/>
        </w:rPr>
        <w:t>E. 29</w:t>
      </w:r>
    </w:p>
    <w:p>
      <w:r>
        <w:t>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ATF 139 II 489 consid. 3.3 ; ATF 139 I 189 consid. 3.2 ; ATF 138 I 484 consid. 2.1 ; ATF 138 I 154 consid. 2.3.3 ; ATF 137 I 195 consid. 2.3.1).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 toute prise de position " versée au dossier, quelle que soit sa dénomination procédurale (réponse, réplique, prise de position, etc.; ATF 142 III 48 précité ; ATF 133 I 100 consid. 4.5, ATF 133 I 98 consid. 2.2; ATF 132 I 42 consid. 3.3.2-3.3.4); même si le juge renonce à ordonner un nouvel échange d'écritures, il doit néanmoins transmettre cette prise de position aux autres parties (ATF 142 III 48 précité ; ATF 139 I 189 consid. 3.2; ATF 138 I 484 consid. 2.2; TF 2C_560/2012 du 21 janvier 2013 consid. 4.3, in RF 68/2013 p. 405; TF 5A_535/2012 du 6 décembre 2012 consid. 2.3; TF 5A_779/2010 du 1er avril 2011 consid. 2.2, in Pra 2012 n. 1 p. 1). Secondement, le juge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 ATF 138 I 484 consid. 2.4; arrêt 2C_560/2012 du 21 janvier 2013 consid. 4.4 et les références, in RF 68/2013 p. 405). A cet égard, le Tribunal fédéral considère qu'un délai inférieur à dix jours ne suffit pas à garantir l'exercice du droit de répliquer, tandis qu'un délai supérieur à vingt jours permet, en l'absence de réaction, d'inférer qu'il a été renoncé au droit de répliquer (TF 5D_74/2019 du 29 mai 2019 consid. 4.1 ; TF 5A_923/2018 du 6 mai 2019 consid. 4.2.1 ; TF 5A_967/2018 du 28 janvier 2019 consid. 3.1.1 et les références).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et les références; TF 5D_74/2019 du 29 mai 2019 consid. 4.1). bb) Contrairement à ce qui est prévu à l’art. 149 CPC en matière de restitution, l’art. 144 CPC ne prévoit pas expressément que la partie adverse soit invitée à s’exprimer sur une requête de prolongation de délai. Si la règle générale de l’art. 53 CPC s’applique en cette matière, le respect du droit d’être entendu ne doit pas entraîner un ralentissement inutile de la procédure. Merz admet que l’on puisse renoncer à demander les déterminations de la partie adverse en matière de prolongation de délai lorsque celles-ci porteraient sur des éléments et des requêtes amenés en temps utile, recevables à la forme et qui servent à clarifier l’objet du litige, ou lorsqu’un intérêt fait défaut comme quand la requête de prolongation est rejetée (Merz, in Bruner/Gasser/Schwander, ZPO Kommentar, 2 e éd., n. 14 ad art. 144 CPC). Il est généralement admis que le juge n’a en principe pas à solliciter les déterminations de la partie adverse, en tous cas pour l’octroi de la première prolongation (Benn, in Spühler/Tenchio/Infanger (éd.), Basler Kommentar ZPO, n. 12 ad art. 144 CPC), voire les deux premières (Merz, loc. cit. et références), ou encore uniquement en présence d’une demande inaccoutumée (prolongation particulièrement longue ou après plusieurs prolongations précédentes), si le requérant ne se prévaut pas déjà de l’accord du confrère de la partie adverse (Tappy, in Bohnet et alii (éd.), Commentaire romand, CPC, 2 e éd., n. 17 ad art. 144 CPC). cc) Le droit d'être entendu est une garantie constitutionnelle de caractère formel, dont la violation entraîne en principe l'annulation de la décision attaquée, indépendamment des chances de succès du recours sur le fond (ATF 142 II 218 consid. 2.8.1 et les références TF 5D_74/2019 du 29 mai 2019 consid. 4.2).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5D_74/2019 du 29 mai 2019 consid. 4.1 ;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TF 5A_963/2018 du 6 mai 2019 consid. 4.2.1 et les références). dd) En l’espèce, la recourante ne conteste pas avoir reçu la décision du premier juge du 12 février 2021 accordant à l’intimée une première prolongation du délai de déterminations. Au regard des considérations développées au ch. bb) ci-dessus, le fait que la recourante n’ait pu se déterminer sur cette requête de prolongation ne constitue pas une violation de son droit d’être entendue susceptible d’entraîner l’annulation du prononcé attaqué. ee) En revanche, l’absence de communication des déterminations, même sommaires, de l’intimée du 12 avril 2021, a empêché la recourante d’exercer son droit de se déterminer sur cette écriture, en particulier soutenir qu’elle était irrecevable. A supposer que les déterminations du 12 avril 2021 soient recevables, le droit d’être entendu de la recourante aurait ainsi été violé. Toutefois, comme on le verra, ces déterminations du 12 avril 2021 sont sans influence sur le sort de la question au fond. En outre, vu leur caractère sommaire, la recourante ne pourrait développer à leur sujet dans le cadre d’une réplique spontanée que des arguments limités. L’annulation du prononcé apparaît ainsi comme une vaine formalité au sens de la jurisprudence susmentionnée et il convient d’examiner le recours sous l’angle de la réforme. III. a)aa)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Lorsque le jugement prévoit une condition suspensive, il incombe au créancier de prouver par titre immédiatement disponible sa réalisation, à moins que celle-ci ne soit reconnue sans réserve par le débiteur ou qu'elle ne soit notoire (ATF 143 III 564 consid. 4.2.2 ; ATF 141 III 489 consid. 9.2; TF 5D_88/2012 du 13 juillet 2012 consid. 4; TF 5A_487/2011 du 2 septembre 2011 consid. 3.2 et les références; TF 5P.324/2005 du 22 février 2006 consid. 3.2; dans le même sens pour la condition résolutoire à prouver par le débiteur: cf. ATF 143 III 564 précité et références). Toutefois, si la condition suspensive consiste en un fait négatif (par ex., l’inexécution d’une prestation par le débiteur), la simple allégation de sa survenance par le poursuivant doit être suffisante pour le prononcé de mainlevée provisoire si le poursuivi ne conteste pas ou si sa contestation est manifestement sans consistance (Veuillet, in Abbet/Veuillet (éd.). La mainlevée de l’opposition, n. 65 ad art. 82 LP ; Staehelin, in Staehelin/Bauer/Staehelin, Basler Kommentar, SchKG I, 2 e éd., n. 36 ad art. 82 LP). bb) En l’espèce, les parties ont signé le 1 er mars 2018 un contrat de prêt prévoyant notamment à ses chiffres 6 et 7 ce qui suit : « 6. Z.________ SA s’engage à signer exclusivement avec V.________ SA, jusqu’au plus tard au 30 septembre 2018, un contrat d’entreprise totale relatif au projet de promotion immobilière à [...]. En cas de signature d’un tel contrat d’entreprise jusqu’au 30 septembre 2018, V.________ SA renonce à percevoir un intérêt sur le prêt accordé (…). 7. Z.________ SA s’engage à payer à V.________ SA, en sus du remboursement du prêt, un montant de CHF 50'000.00 (cinquante mille francs) si les Parties ne devaient pas signer ce contrat d’entreprise totale d’ici le 30 septembre 2018 pour le projet de promotion immobilière à [...]. » ; La poursuivie s’est donc engagée à verser la somme de 50'000 fr. sous la condition suspensive de l’absence de signature d’un contrat confiant à la recourante des travaux à [...] au 30 septembre 2018. S’agissant d’un fait négatif, il appartenait à l’intimée de contester avec consistance l’allégation de la recourante selon laquelle le contrat n’avait pas été signé, allégation corroborée par le courriel du 31 juillet 2020 dans lequel la recourante rejette une proposition de l’intimée et réclame le remboursement du prêt susmentionné, ainsi que le versement du montant de 50'000 fr. avec intérêt à 5 % l’an dès le 1 er octobre 2018. On ne saurait considérer l’allégation de l’intimée selon laquelle « elle est actuellement en compte avec V.________ SA et qu’elle a des prétentions à l’encontre de cette dernière, qu’elle invoque en compensation », comme une contestation suffisante de la réalisation de la condition suspensive litigieuse et l’intimée n’a en particulier produit aucun contrat signé avant le 30 septembre 2018 confiant à la recourante des travaux à [...], collaboration que l’on pouvait exiger d’elle en application des règles de la bonne foi en présence d’un fait négatif (ATF 133 V 205 consid. 5.5 ; ATF 100 Ia 12 consid. 4a, JdT 1975 I 226 ; TF 5A_763/2018 du 1 er juillet 2019 consid. 6.3.4). La recourante est donc au bénéfice d’un titre à la mainlevée provisoire pour la somme de 50'000 fr., avec intérêt à 5 % l’an dès le 1 er août 2020, lendemain de l’envoi du courriel du 30 juillet 2020. b)aa) Conformément à l'art. 82 al. 2 LP, le poursuivi peut faire échec à la mainlevée provisoire de l'opposition en rendant immédiatement vraisemblable - en principe par titre (dans ce sens, l'art. 254 al. 1 CPC) - sa libération (ATF 132 III 140 consid. 4.1.2 p. 143 s.; TF 5A_905/2011 du 10 août 2011 consid. 2.1). Le poursuivi peut se prévaloir de tous les moyens de droit civil - exceptions ou objections - qui infirment la reconnaissance de dette, notamment la compensation (ATF 131 III 268 consid. 3.2 p. 273; 124 III 501 consid. 3b p. 503; 105 II 183 consid. 4a p. 187; TF 5A_905/2010 du 10 août 2011 consid. 2.1). Lorsqu’il invoque ce moyen, il incombe au débiteur poursuivi de rendre vraisemblable la créance compensante et le montant exact à concurrence duquel la dette serait éteinte (art. 124 al. 1 CO [Code des obligations du 30 mars 1911 ; RS 220]; ATF 136 III 624 consid. 4.2.3 p. 626; Staehelin, op. cit., n° 94 ad art. 82 LP ; Veuillet, op. cit. n. 126 ad art. 82 LP ; Krauskopf, La mainlevée provisoire ; quelques jurisprudences récentes, in JdT 2008 II 23 ss, et les réf. cit., note infrapaginale 152).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pp. 198-199; Schmidt, Commentaire romand, n° 30 ad art. 82 LP ; Veuillet, loc. cit.). Les preuves produites par le débiteur poursuivi doivent rendre vraisemblable le fait libératoire (ATF 132 III 140 consid. 4.1.2 p. 143).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p. 144; 130 III 321 consid. 3.3 p. 325). bb) En l’espèce, l’intimée s’est bornée à déclarer « qu’elle a des prétentions à l’encontre de cette dernière, qu’elle invoque en compensation », ce qui est clairement insuffisant pour s’opposer à l’octroi de la mainlevée provisoire. IV. En conclusion, le recours doit être admis et le prononcé réformé en ce sens que l’opposition est levée provisoirement à concurrence de 50'000 fr. avec intérêt à 5 % l’an dès le 1 er août 2020. Vu l’issue du recours, les frais judiciaires de première instance, arrêtés à 360 fr. (art. 48 OELP [ordonnance du 23 septembre 1996 sur les émoluments perçus en application de la LP ; RS 281.35), doivent être mis à la charge de la poursuivie, qui doit en rembourser l’avance à la poursuivante (art. 106 al. 1 et 111 al. 2 CPC). Il n’y a pas lieu d’allouer de dépens de première instance, la poursuivante ayant agi sans l’assistance d’un mandataire professionnel. Pour les mêmes raisons, les frais judiciaires de deuxième instance, arrêtés à 540 fr. (art. 48 et 61 OELP), sont mis à la charge de l’intimée, qui en remboursera l’avance à la recourante,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