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129 vom 1. Juli 2021</w:t>
      </w:r>
    </w:p>
    <w:p>
      <w:r>
        <w:t>VD Tribunal cantonal, 2021-07-01, FR</w:t>
      </w:r>
    </w:p>
    <w:p>
      <w:r>
        <w:rPr>
          <w:b/>
        </w:rPr>
        <w:t xml:space="preserve">Quelle: </w:t>
      </w:r>
      <w:r>
        <w:t>https://mcp.opencaselaw.ch/entscheid/vd_findinfo_ML___2021___129</w:t>
      </w:r>
    </w:p>
    <w:p>
      <w:r>
        <w:t>FR: VD_FINDINFO ML / 2021 / 129 du 1 juillet 2021</w:t>
      </w:r>
    </w:p>
    <w:p>
      <w:r>
        <w:t>IT: VD_FINDINFO ML / 2021 / 129 del 1 luglio 2021</w:t>
      </w:r>
    </w:p>
    <w:p>
      <w:pPr>
        <w:pStyle w:val="Heading2"/>
      </w:pPr>
      <w:r>
        <w:t>Regeste</w:t>
      </w:r>
    </w:p>
    <w:p>
      <w:r>
        <w:t>TITRE DE MAINLEVÉE, MAINLEVÉE DÉFINITIVE, IMPÔT, DÉCOMPTE{SENS GÉNÉRAL}, INDICATION DES VOIES DE DROIT, PARTAGE{SENS GÉNÉRAL}, VALAIS | 80 LP</w:t>
      </w:r>
    </w:p>
    <w:p>
      <w:pPr>
        <w:pStyle w:val="Heading2"/>
      </w:pPr>
      <w:r>
        <w:t>Erwägungen</w:t>
      </w:r>
    </w:p>
    <w:p>
      <w:r>
        <w:rPr>
          <w:b/>
        </w:rPr>
        <w:t>E. 9</w:t>
      </w:r>
    </w:p>
    <w:p>
      <w:r>
        <w:t>décembre 2019 émanant de la commune de Venthône, il mentionne certes le montant de 107 fr. 15 réclamé, mais ne comporte pas l’indication des voies de droit à la disposition de son destinataire pour le contester. Cela étant, ledit bordereau ne saurait être assimilé à une décision au sens de l’art. 80 al. 2 LP. En effet, au vu des principes rappelés plus haut (cf. supra consid. II a)), un acte qui ressemble, comme en l’espèce, à une simple facture, même si la créance est fondée sur le droit public, dépourvue de toute mention de voies d’opposition ou de recours, n’est pas un titre à la mainlevée définitive. Enfin, les 50 fr. de frais de sommation réclamés, qui ne ressortent d’aucune des pièces produites, ne semblent pas avoir fait l’objet d’une décision. Dans ces conditions, la poursuivante n’étant au bénéfice d’aucun titre de mainlevée définitive pour les montants en poursuite, le premier juge aurait dû rejeter la requête présentée par la Commune de Venthône. III. En conclusion, le recours doit être admis et le prononcé réformé en ce sens que l’opposition formée par K.________ au commandement de payer dans la poursuite n° 9'667 ' 098 de l’Office des poursuites du district de Lavaux-Oron est maintenue. Vu l’admission du recours, les frais judiciaires de première instance, arrêtés à 90 fr., doivent être mis à la charge de la poursuivante, qui succombe (art. 106 al. 1 CPC). Pour les mêmes motifs, les frais judiciaires de deuxième instance, arrêtés à 135 fr. (art. 61 al. 1 OELP [ordonnance sur les émoluments perçus en application de la LP ; RS 281.35]), doivent être mis à la charge de l’intimée, qui remboursera au recourant son avance de frais à concurrence de ce montant (art. 106 al. 1 CPC). Enfin, il n’y a pas lieu de faire droit à la prétention du recourant tendant à l’octroi d’une indemnité, soit à des dépens (art. 95 al. 3 CPC), pour la procédure de première instance et celle de recours, auxquelles il dit avoir consacré cinq heures. En effet, K.________ ne prétend pas avoir eu recours à un mandataire professionnel et l’on ne saurait voir, même à considérer les cinq heures de travail invoquées, une dépense de temps et d’énergie allant au-delà de ce qui peut être attendu de tout un chacun dans la défense de ses droits (cf. Tappy, in Bohnet et alii (éd.), Commentaire romand, Code de procédure civile, 2 e éd. 2019, n. 34 ad art. 95 CPC ; CREC 30 octobre 2019/295 ; CPF 25 mai 2017/120 ; CREC 3 mars 2014/76).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