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113 vom 7. Juni 2021</w:t>
      </w:r>
    </w:p>
    <w:p>
      <w:r>
        <w:t>VD Tribunal cantonal, 2021-06-07, FR</w:t>
      </w:r>
    </w:p>
    <w:p>
      <w:r>
        <w:rPr>
          <w:b/>
        </w:rPr>
        <w:t xml:space="preserve">Quelle: </w:t>
      </w:r>
      <w:r>
        <w:t>https://mcp.opencaselaw.ch/entscheid/vd_findinfo_ML___2021___113</w:t>
      </w:r>
    </w:p>
    <w:p>
      <w:r>
        <w:t>FR: VD_FINDINFO ML / 2021 / 113 du 7 juin 2021</w:t>
      </w:r>
    </w:p>
    <w:p>
      <w:r>
        <w:t>IT: VD_FINDINFO ML / 2021 / 113 del 7 giugno 2021</w:t>
      </w:r>
    </w:p>
    <w:p>
      <w:pPr>
        <w:pStyle w:val="Heading2"/>
      </w:pPr>
      <w:r>
        <w:t>Regeste</w:t>
      </w:r>
    </w:p>
    <w:p>
      <w:r>
        <w:t>ASSISTANCE JUDICIAIRE, AVOCAT D'OFFICE, DROIT D'ÊTRE ENTENDU | 118 al. 1 let. c CPC (CH), 121 CPC (CH), 53 al. 1 CPC (CH)</w:t>
      </w:r>
    </w:p>
    <w:p>
      <w:pPr>
        <w:pStyle w:val="Heading2"/>
      </w:pPr>
      <w:r>
        <w:t>Erwägungen</w:t>
      </w:r>
    </w:p>
    <w:p>
      <w:r>
        <w:rPr>
          <w:b/>
        </w:rPr>
        <w:t>E. 1</w:t>
      </w:r>
    </w:p>
    <w:p>
      <w:r>
        <w:t>CPC, qui reprend la formulation générale de l’art. 29 al. 2 Cst. (Constitution fédérale ; RS 101) (ATF 142 III 48 consid. 4.1.1). Compris comme l'un des aspects de la notion générale de procès équitable,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(ATF 145 I 167 consid. 4.1 ; ATF 142 III 48 consid. 4.1.1). En l’espèce, le recourant se plaint d’une violation de son droit d’être entendu au travers de quatre griefs : aa) Il reproche au premier juge d’avoir motivé « a posteriori » sa décision, respectivement d’avoir substitué une nouvelle motivation à une motivation précédente. Ces reproches ne résistent pas à l’examen de la décision attaquée, qui a été directement motivée et n’a été précédée d’aucune autre décision en matière d’assistance judiciaire dans la procédure concernée. Le fait que le recourant ait pu obtenir l’assistance d’un avocat d’office dans d’autres procédures, même ouvertes devant le même magistrat, ne saurait lui donner sans autre le droit à cette assistance dans toute procédure. bb) Le recourant soutient que le premier juge aurait dû lui accorder « un délai de détermination sur les faits nouveaux et devait obtenir une copie du dossier contenant ces éléments ». Là encore, le recourant n’indique pas de quels faits nouveaux il s’agirait. Quant au dossier dont il aurait fallu demander une copie, si le recourant se réfère par là à de précédentes décisions de désignation d’un conseil d’office dans d’autres procédures, elles étaient sans incidence sur l’examen des conditions d’octroi de l’assistance judiciaire auquel le juge de paix devait se livrer à nouveau dans la procédure en cause. cc) Le recourant soutient également que le juge devait lui fixer « un court délai lui permettant de se déterminer au sujet des motifs justifiant le rejet » de l’assistance judiciaire. Outre que l’assistance judiciaire n’a pas été refusée au recourant, mais accordée dans une mesure limitée, le juge n’avait pas à interpeller celui-ci avant de rendre sa décision. Le droit d'être entendu n'implique pas le droit de se faire interpeller par l'autorité, avant que la décision ne soit prise, à propos des faits ou de la motivation juridique que celle-ci envisage de retenir (TF 5D_13/2017 du 4 décembre 2017 consid. 4.2). En l’espèce, la demande d’assistance judiciaire émanait du recourant, qui avait donc lui-même fourni les éléments nécessaires à son examen. La désignation d’un conseil d’office relève du pouvoir d’appréciation du juge, qui a en l’occurrence pris en considération les écritures de la procédure, dont le recourant avait connaissance quand il n’en était pas lui-même l’auteur. dd) Le recourant se plaint d’une motivation insuffisante de la décision attaquée. La jurisprudence a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En l’occurrence, le grief de défaut de motivation ne résiste pas à l’examen. Le premier juge a motivé de façon détaillée son refus de désigner un avocat d’office, considérant le degré de complexité de la requête de mainlevée, la nature des pièces produites à son appui, le caractère sommaire de la procédure et le contenu des nombreuses écritures déposées par le recourant lui-même, et en concluant que ce dernier possédait des connaissances juridiques suffisantes pour assumer seul sa défense. Le grief de violation du droit d’être entendu est ainsi totalement infondé. V. 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On doit se demander si un plaideur raisonnable placé dans une situation semblable et disposant de ressources suffisantes mandaterait un avocat. En pratique, lorsque les conditions de l’art. 117 CPC sont réunies, il y a lieu de présumer que la commission d’un conseil d’office se justifie dans les affaires soumises à la procédure ordinaire ou à des procédures spéciales obéissant au moins partiellement à la maxime des débats, alors que des affaires soumises à la procédure sommaire pourraient entraîner une présomption inverse, dans les deux cas sous réserve d’éléments notamment subjectifs conduisant à une solution inverse (Tappy, in Bohnet et alii (éd.), Code de procédure civile commenté, nn. 13 et 14 ad art. 118 CPC). b) Dans ses déterminations de première instance, le recourant a justifié la nécessité « d’ordonner une défense d’office pour sauvegarder ses intérêts » par le fait que « la présente cause pose des questions qui ne sont pas dénuées de complexité ». Or, le motif principal de ses conclusions en rejet de la requête de mainlevée est tiré d’une prétendue violation de l’art. 46 LP, le for de la poursuite étant, selon lui, à G[...], où il aurait son domicile, et non à C[...]. Il soutient qu’il n’a pas changé de domicile et que « l’Office des poursuites de Vevey » aurait dû constater d’office son incompétence à raison du lieu. Il en déduit que la poursuite litigieuse est nulle. Force est de constater, comme l’a fait le premier juge, que le recourant a été parfaitement capable de présenter ses moyens de défense contre la requête de mainlevée d’opposition dirigée contre lui. Le refus de lui désigner un conseil d’office était ainsi justifié. Force est également de constater que le recourant ne conteste aucun des motifs pertinents retenus par le juge de paix pour justifier son refus de désigner un avocat d’office. Il se borne à répéter que « la présente cause pose des questions qui ne sont pas dénuées de complexité » et à affirmer qu’il était « indispensable qu’il soit assisté d’un défenseur d’office ». En réalité, l’essentiel des arguments de fond du recours ont trait à l’indigence du recourant et sont dirigés contre un refus d’accorder l’assistance judiciaire, alors que cette assistance lui a été octroyée, seule lui étant refusée la désignation d’un avocat d’office. VI. Au vu de ce qui précède, le recours doit être rejeté et le prononcé du juge de paix confirmé. Le présent arrêt peut être rendu sans frais judiciaires (art. 119 al. 6 CPC), ce qui rend sans objet la demande d’assistance judiciaire contenue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