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112 vom 14. Juni 2021</w:t>
      </w:r>
    </w:p>
    <w:p>
      <w:r>
        <w:t>VD Tribunal cantonal, 2021-06-14, FR</w:t>
      </w:r>
    </w:p>
    <w:p>
      <w:r>
        <w:rPr>
          <w:b/>
        </w:rPr>
        <w:t xml:space="preserve">Quelle: </w:t>
      </w:r>
      <w:r>
        <w:t>https://mcp.opencaselaw.ch/entscheid/vd_findinfo_ML___2021___112</w:t>
      </w:r>
    </w:p>
    <w:p>
      <w:r>
        <w:t>FR: VD_FINDINFO ML / 2021 / 112 du 14 juin 2021</w:t>
      </w:r>
    </w:p>
    <w:p>
      <w:r>
        <w:t>IT: VD_FINDINFO ML / 2021 / 112 del 14 giugno 2021</w:t>
      </w:r>
    </w:p>
    <w:p>
      <w:pPr>
        <w:pStyle w:val="Heading2"/>
      </w:pPr>
      <w:r>
        <w:t>Regeste</w:t>
      </w:r>
    </w:p>
    <w:p>
      <w:r>
        <w:t>CRÉANCE, CAS DE SÉQUESTRE, OPPOSITION{PROCÉDURE}, ORDONNANCE DE SÉQUESTRE, FUITE, DÉLAI | 271 al. 1 ch. 2 LP, 278 LP</w:t>
      </w:r>
    </w:p>
    <w:p>
      <w:pPr>
        <w:pStyle w:val="Heading2"/>
      </w:pPr>
      <w:r>
        <w:t>Erwägungen</w:t>
      </w:r>
    </w:p>
    <w:p>
      <w:r>
        <w:rPr>
          <w:b/>
        </w:rPr>
        <w:t>E. 1</w:t>
      </w:r>
    </w:p>
    <w:p>
      <w:r>
        <w:t>CPC et déposé dans le délai de dix jours de l’art. 321 al. 2 CPC. Conformément à l’art. 320 CPC, le recours est recevable pour violation du droit (let. a) et pour constatation manifestement inexacte des faits (let. b) (ATF 138 III 232, JdT 2012 II 511). b) En l’espèce, le recours, écrit et motivé, a été déposé en temps utile et est ainsi recevable (art. 321 al. 2 CPC). Il en va de même de la réponse de l’intimée, déposée le mardi 6 avril 2021, premier jour ouvrable après l’échéance du délai de dix jours qui tombait initialement le vendredi (Saint) 2 avril 2021 (art. 322 CPC). La réplique et la duplique spontanées, déposées dans le délai prévu par la jurisprudence pour répondre aux arguments de la partie adverse (ATF 142 III 48 consid. 4.1.1), sont également recevables. II. a) En matière d'opposition au séquestre, l'art. 278 al. 3, 2e phrase, LP dispose que les parties peuvent alléguer des faits nouveaux dans la procédure de recours à l'autorité judiciaire supérieure (cf. art. 278 al. 3, 1re phrase, LP) contre la décision rendue sur opposition. Cette disposition instaure une exception (cf. art. 326 al. 2 CPC) à l'art. 326 al. 1 CPC qui prohibe les conclusions, les allégations de faits et les preuves nouvelles dans le cadre d'un recours. Sont recevables les vrais nova, la question étant laissée ouverte pour les faux nova. Il est cependant arbitraire d’écarter des faits nouveaux sans examiner s’ils constituent des vrais nova et d’omettre, pour le cas où il s’agirait de faux nova, de statuer sur leur recevabilité (ATF 140 III 466 consid. 4.2.3 ; TF 5A_195/2018 du 22 août 2018 consid. 5.2). Dans un arrêt paru aux ATF 145 III 324 consid. 6 (JdT 2019 II 275), le Tribunal fédéral a confirmé la pratique de la cour de céans qui considérait que seuls les "vrais nova" pouvaient être invoqués (CPF 24 mars 2016/103 ; CPF, 30 septembre 2013/397 et les réf. cit. ; CPF 30 septembre 2013/397 et les réf. cit. ; CPF 3 mai 2013/185) et que les pseudo-nova n'étaient recevables qu'en tant que celui qui les allègue établit qu'ils ne pouvaient être invoqués ou produits devant la première instance bien qu'il ait fait preuve de la diligence requise — soit aux conditions de l'art. 317 al. 1 CPC appliqué par analogie —, dès lors qu'en procédure de recours, les moyens nouveaux, admis par exception en application de l'art. 278 al.</w:t>
      </w:r>
    </w:p>
    <w:p>
      <w:r>
        <w:rPr>
          <w:b/>
        </w:rPr>
        <w:t>E. 3</w:t>
      </w:r>
    </w:p>
    <w:p>
      <w:r>
        <w:t>LP, ne devaient en tout cas pas être admis plus largement que dans l'appel (CPF 3 mai 2013/185). Un vrai novum est produit « sans retard » s’il l’est dans un délai de dix jours, respectivement d’une à deux semaines. Une partie à qui un délai a déjà été fixé pour une écriture peut cependant attendre l’échéance de ce délai pour produire ce nova, car la procédure n’en est pas retardée (TF 5A_790/2016 du 9 août 2018 consid. 3.4 ; TF 4A_707/2016 du 26 mai 2017 consid. 3.3.2, RSPC 2017 p. 438). b) En l’espèce, la pièce nouvelle produite le 1 er mars 2020 par le recourant est une décision d’un tribunal anglais du 20 août 2020. On ignore à quelle date le recourant en a eu connaissance. Il lui appartenait d’établir qu’il n’aurait pas pu produire cette pièce plus tôt. Or, il se contente de relever que la décision a été rendue « postérieurement à la requête de séquestre », ce qui n’est pas suffisant. Le recourant n’ayant pas rendu vraisemblable sa diligence dans la production de cette pièce, cette dernière est irrecevable. La pièce produite par le recourant le 19 avril 2021, qui est postérieur au prononcé attaqué, est en revanche recevable. Il en va de même des pièces produites par l’intimée en deuxième instance (une décision de justice, précisant qu’elle a été envoyée aux parties le 13 novembre 2020, ainsi qu’une écriture du 19 avril 2021). Il s’agit de vrais nova qui sont recevables. Les pièces produites en première instance, après l’audience du 5 octobre 2020, étaient irrecevables devant la première juge, dans la mesure où elles ont été produites après la clôture de l’instruction, et sont irrecevables en deuxième instance. Les parties auraient pu les produire en deuxième instance, ce qu’elles n’ont pas fait. III. 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 107 III 33 consid. 2 ; TF 5A_205/2016 du 7 juin 2016 consid. 7.1). Le juge du séquestre statue en se basant sur la simple vraisemblance des faits. La juridiction saisie d'un recours contre la révocation du séquestre (art. 278 al. 3 LP) ne jouit pas d'une cognition plus étendue que celle du juge de l'opposition; elle examine également au degré de la simple vraisemblance si les conditions du séquestre sont réalisées (TF 5A_654/2010 du 24 novembre 2011 consid. 7.2).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en général : cf. ATF 130 III 321 consid. 3.3 ; TF 5A_205/2016 du 7 juin 2016 consid. 7.1). De son côté, le poursuivi doit s'efforcer de démontrer, en s'appuyant sur les moyens de preuve à sa disposition, que son point de vue est plus vraisemblable que celui du créancier séquestrant (TF 5A_205/2016 du 7 juin 2016 consid. 7.1 ; TF 5A_482/2010 du 16 septembre 2010 consid. 2.1 et réf. cit.). S'agissant de l'application du droit, le juge procède à un examen sommaire du bien-fondé juridique, c'est-à-dire un examen qui n'est ni définitif, ni complet, au terme duquel il rend une décision provisoire (ATF 138 III 232 consid. 4.1.1 ; TF 5A_925/2012 du 5 avril 2013 consid. 9.2 et réf. cit. ; TF 5A_205/2016 du 7 juin 2016 consid. 7.1). Selon l’art. 271 al. 1 ch. 2 LP, le créancier d'une prétention échue non garantie par gage peut requérir le séquestre des biens du débiteur qui se trouvent en Suisse lorsque ce dernier, dans l'intention de se soustraire à ses obligations, fait disparaître ses biens, s'enfuit ou prépare sa fuite. Dans ce cas, le séquestre peut même être requis pour une dette non échue ; il rend la créance exigible à l’égard du débiteur (art. 271 al. 2 LP). La réalisation de ce cas de séquestre repose sur un élément objectif et un élément subjectif (Stoffel/Chabloz, in Dallèves/Foëx/Jeandin (éd.), Commentaire romand, Poursuite et faillite, n. 53 ad art. 271 LP). L’élément objectif peut être réalisé par la fuite ou la préparation de la fuite du débiteur. Un tel comportement peut précéder l’abandon de domicile prévu par l'art. 271 al. 1 ch. 1 LP. Un simple départ ne suffit pas ; c’est l’abandon pur et simple du domicile et donc du for de la poursuite sans en créer un nouveau qui est nécessaire (Stoffel/Chabloz, op. cit., n. 55 ad art. 271 LP). Le Tribunal fédéral a jugé que l’élément objectif suppose que les préparatifs de fuite soient accomplis dans des conditions de rapidité et de clandestinité telles qu’elles trahissent la volonté du débiteur de ne pas honorer ses engagements (TF 5A_818/2013 du 21 février 2014 consid. 3.2 et réf. cit.). L’élément objectif consiste également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(CPF 21 février 2008/46). Le cas de séquestre est réalisé lorsque le débiteur cèle les objets de son patrimoine du fait qu'il les cache, en fait donation, les vend à vil prix, les emporte à l'étranger ou les met en gage sans explication plausible (ATF 119 III 92 consid. 3b ; TF 5P.95/2004 du 20 août 2004 ; TF 5P.403/1999 du 13 janvier 2000 consid. 2c ; TF 5P.303/1993 du 6 décembre 1993 consid. 2 ; CPF 28 septembre 2015/276 ; CPF 16 mai 2014/184). L’élément subjectif tient dans l’intention du débiteur de se soustraire à ses obligations. Les éléments objectifs précités constituent des indices d’une telle intention (Stoffel/Chabloz, op. cit., n. 56 ad art. 271 LP). Conformément à l'art. 271 al. 1 LP, un séquestre ne peut frapper que les «biens du débiteur». Doivent être considérés comme biens de tiers tous ceux qui, en vertu des normes du droit civil, appartiennent à une personne autre que le débiteur (ATF 107 III 103 consid. 1; 105 III 107 consid. 3a et les citations). Il appartient au séquestrant de rendre vraisemblable que les biens à mettre sous main de justice appartiennent au débiteur ; de simples allégations sont insuffisantes (ATF 107 III 33 consid. 2; 126 III 95 consid. 4a et les nombreuses citations; TF 5A_654/2010 du 24 novembre 2011 consid. 7.3.1 ; TF 5A_873/2010 du 3 mai 2011 consid. 4.2.2). IV. a) D’un point de vue formel d’abord, le recourant soutient que l’opposition au séquestre du 20 août 2020 serait tardive et reproche au premier juge de n’avoir même pas examiné cette question. Il fait valoir que l’intimée a été avisée du séquestre par l’office des poursuites le 3 août 2020 ; elle aurait reçu cet avis le 6 août 2020 au plus tard, puisqu’elle avait alors requis du juge une copie de la requête de séquestre. b) L’intimée fait valoir qu’elle a agi dès qu’elle a eu connaissance de la requête de séquestre, avant même d’avoir reçu le procès-verbal de séquestre. c) Dans le délai de dix jours dès leur connaissance du séquestre, le débiteur ou les tiers peuvent former opposition au séquestre (art. 278 LP) ; pour le débiteur, le délai commence à courir dès réception du procès-verbal de séquestre (TF 5A_789/2010 consid. 2). L’avis dont se prévaut le recourant est la pièce 22 de l’intimée ; ce n’est pas le procès-verbal de séquestre mais un avis n’indiquant ni le nom du séquestrant, ni le montant de la créance à concurrence de laquelle les actifs mentionnés étaient séquestrés, ni les voies de droit à disposition. On ne peut évidemment exiger du séquestré qu’il agisse sur cette base. Mal fondé, le moyen du recourant doit être rejeté. V. a) S’agissant de l’existence de sa créance, le recourant reproche ensuite à la première juge d’avoir violé le droit en imposant un seuil trop élevé à la vraisemblance. La juge de paix se serait contentée de faire le constat des versions contradictoires des parties puis d’en conclure que la créance n’était pas rendue vraisemblable, alors qu’elle aurait dû examiner pour quelle raison les faits et moyens de preuve invoqués par le recourant ne parlaient pas en faveur de la créance alléguée. Toujours au sujet de sa qualité de créancier, le recourant se plaint d’une violation de son droit d’être entendu, la décision étant selon lui insuffisamment motivée sur ce point, ainsi que d’une constatation inexacte des faits. Il fait valoir qu’un contrat de prêt ne revêt pas forcément la forme écrite, que la vraisemblance de l’existence de cette créance peut résulter des circonstances, qu’il a établi que la comptabilité de l’intimée faisait état d’une dette de 2'104'603 US$ due à C.________Limited (allégué 5 de la demande du 6 juin 2019 déposée devant la Chambre patrimoniale cantonale), que celle-ci en avait demandé le remboursement à l’intimée (allégués 6 et 7, même demande). Il relève que l’intimée elle-même, dans le cadre de la procédure devant la Chambre patrimoniale cantonale, avait allégué que C.________Limited lui avait remboursé de l’argent à raison de 1’323'735,11 US$ et 753'461,60 US$, que ces versements auraient été comptabilisés comme des prêts (allégués 95, 96 et 101 de la réponse du 29 novembre 2019), et qu’elle gardait 1'766'066 fr. en faveur de cette société, sur un compte, en attente, à titre de provision (allégué 87 même écriture). b) L’intimée fait valoir que les sociétés, créées par les mêmes personnes physiques, s’étaient mises d’accord pour comptabiliser les versements litigieux comme des prêts pour des motifs fiscaux mais qu’il s’agissait en réalité de remboursements dans le cadre de leur activité commerciale. c) aa) Le droit d'être entendu, garanti par l'art. 29 al. 2 Cst.,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se limiter à l'examen des questions décisives pour l'issue du litige (ATF 142 II 154 consid. 4.2 ; TF 5A_444/2020 du 28 avril 2020 consid. 4.1). bb) En l’espèce, la décision entreprise constate que la créance litigieuse est censée résulter d’un contrat de prêt et que le recourant n’a pas produit un tel contrat ou autre pièce à l’appui de cette créance. Ce raisonnement sommaire est suffisant du point de vue du droit d’être entendu, le recourant ayant pu faire valoir ses arguments contre ce considérant. cc) S’agissant de la réalité de la créance litigieuse, dans son arrêt du 7 février 2020, la Cour d’appel civile a constaté que tant le bilan de C.________Limited au 31 décembre 2013 qu’un courrier de cette société du 4 novembre 2016 indiquaient que l’intimée avait obtenu des prêts de la part de C.________Limited et qu’à la suite d’un remboursement partiel, le solde du prêt s’élevait à 1'977'196.71 US$. En outre, de son propre aveu (pièce 7 de l’intimée), l’intimée a reçu de C.________Limited deux versements en 2013 de 1'323'735.11 et 753'461.60 US$ et il était entendu entre ses propres administrateurs et ceux de C.________Limited que ces montants soient comptabilisés comme des prêts (all. 95 et 97). Ce qui précède rend vraisemblable la créance de C.________Limited à l’égard d’O.________SA, créance que le recourant a acquise aux enchères publiques du 24 avril 2018. L’intimée allègue certes que la cause véritable de ces deux transferts d’argent ne consistait pas en des prêts, mais en des remboursements des montants dus à l’intimée (all. 96 et 101). Il est vrai qu’on peut éprouver des doutes, vu les liens étroits de toutes les personnes et sociétés concernées (cf. 38 ss de la réponse du 29 novembre 2019 et l’arrêt CACI précité), et le fait que le recourant ne disposait d’aucun document suffisamment probant pour requérir la mainlevée de l’opposition. Il n’en demeure pas moins que du point de vue de l’apparence, la thèse du recourant est vraisemblable – ce dont l’intimée doit être consciente puisqu’elle a constitué une provision pour le cas où elle ne serait pas suivie. La créance du recourant est dès lors vraisemblable. Son montant est toutefois nettement inférieur à 5'000'000 fr. fixé comme limite au séquestre demandé, le montant des conclusions n’ayant pas été réduit ensuite du désistement de S.________SA. VI. a) En ce qui concerne le cas de séquestre, le recourant fait ensuite grief à la première juge d’avoir violé son droit à la preuve en ne tenant pas compte de ses déclarations à l’audience à titre d’« interrogatoire des parties », alors qu’il a tenu pour vraisemblables des allégations de l’intimée qui n’étaient pourtant étayées que par ses affirmations en audience (cf. p. 6 du prononcé). Sur le fond, le recourant, reprenant les indices énumérés dans sa requête de séquestre et surtout dans son courrier du 1 er octobre 2020, estime avoir établi la volonté de fuir de l’intimée. Cette dernière n’aurait pas contesté les faits constituant selon lui des indices de fuite, mais se serait contentée d’appeler cela une restructuration. Ainsi, l’intimée prétendait avoir déménagé de Nyon à Etoy mais le bail relatif aux locaux d’Etoy, au demeurant non signé et daté de quelques jours après qu’elle a eu connaissance de sa demande de faillite sans poursuite préalable, ne portait que sur un hébergement sous forme de bureau virtuel. Elle aurait en outre pour plus de 220'000 fr. d’arriérés de cotisations sociales. Le recourant pense que le premier juge n’a pas tenu compte des pièces produites les 1 er et 2 octobre 2020 car le prononcé ne les mentionne pas. b) L’intimée reprend son argumentation en première instance et fait valoir qu’elle n’a pas tenté de faire disparaître ses biens ni de fuir, qu’elle a toujours un siège en Suisse, même si elle développe des activités à Malte. c) L’interrogatoire des parties consiste en une audition formelle sous forme de procès-verbal après avertissement des droits et devoirs à la partie (art. 191 CPC), et pas en des affirmations faites informellement lors d’une audience. Le recourant ne prétend pas que ce mode de preuve aurait été utilisé, ou qu’il l’aurait requis en vain. Rien de tel ne ressort du procès-verbal de l’audience au dossier. Dans ces circonstances, il n’y a pas de violation du droit à la preuve. En outre, il est inexact de dire que le juge aurait simplement cru la partie séquestrée sur parole. Le prononcé mentionne ses allégations en tant que telles, puis indique lorsqu’un élément ou l’autre est établi par une pièce. Pour le reste il constate que le séquestrant n’a pas apporté la preuve – au stade de la vraisemblance – du cas de séquestre. Ce raisonnement est correct, car il appartient au séquestrant d’apporter cette preuve, et pas au séquestré d’apporter la preuve du contraire. S’agissant des écritures des 1 er et 2 octobre 2020, il est vrai que la décision entreprise ne les mentionne pas, de sorte qu’on ignore si la première juge les a prises en considération ou pas. Cependant, comme on va le voir, le raisonnement de la première juge sur le cas de séquestre résiste à l’examen et doit être approuvé. L’intimée est une société qui a des activités internationales. Le recourant lui-même fait valoir qu’elle a des filiales dans beaucoup de pays. Qu’il y ait eu création d’une nouvelle société à Malte n’a rien d’inquiétant. Cette activité a de plus été annoncée publiquement (pièces 16 et 17 de l’intimée). Il ressort du reste de l’audition de l’administratrice de l’intimée, dont rien ne permet de douter de la véracité de ses déclarations, que malgré la fondation de la société maltaise, l’intimée n’a pas l’intention de quitter la Suisse ; la partie opérationnelle et logistique restera en Suisse, tandis que les activités de support seront essentiellement effectuées à Malte. Quant au changement d’administrateur, il est antérieur aux requêtes de séquestre et de faillite sans poursuite préalable (pièces 1 et 2 de l’intimée). L’intimée a toujours un siège et une adresse en Suisse, même si elle a renoncé à ses précédents locaux à Nyon. Les documents produits par l’AVS attestent qu’il y a eu une réduction de l’effectif de l’intimée, mais qu’au 29 septembre 2020, l’intimée avait toujours des employés en Suisse, pour lesquels elle devait payer les charges sociales. De même, s’il est établi que l’intimée a une dette importante à l’égard de l’AVS, il n’est pas rendu vraisemblable qu’elle ait cherché à fuir en raison de celle-ci. Il résulte au contraire du dossier qu’elle a pris contact avec l’AVS, avant le dépôt des requêtes de séquestre et de faillite, pour négocier un plan de paiement. Après l’avoir obtenu, le 7 août 2020, elle a fait un amortissement non négligeable de sa dette, en payant 87'000 fr. environ les 10 août et 11 septembre 2020. Ces démarches ne rendent pas vraisemblables que l’intimée ne voulait pas honorer ses engagements. Bref, s’il y a des changements au sein de l’intimée, rien ne permet de penser qu’il y a une volonté de l’intéressée de se soustraire à ses obligations. VII. a) Enfin, sur l’existence de biens de l’intimée en Suisse, le recourant reproche de nouveau à la juge de paix une violation de son droit à la preuve en ne retenant pas ses déclarations à l’audience et partant une constatation inexacte des faits. Pourtant, les circonstances d’espèce - soit le fait qu’il a été un organe de l’intimée durant de nombreuses années - rendraient ses propos crédibles. Le recourant relève qu’il a cité nommément deux banques seulement, de sorte que sa requête ne saurait être soupçonnée d’être exploratoire. b) L’intimée reprend les arguments qu’elle avait avancés en première instance. c) Il est vrai qu’on ne dispose pas au dossier de preuve formelle attestant de l’existence des biens dont le séquestre est demandé. On n’a pas de document indiquant que l’intimée dispose des avoirs bancaires dans les établissements cités dans les ordonnances de séquestre ou qu’il existe en Suisse des certificats des actions qu’elle détient dans ses filiales. Toutefois, le fait que le recourant a effectivement été un organe de l’intimée durant de nombreuses années et le fait qu’il désigne deux banques bien précises – et pas les plus courantes – témoignent de sa bonne foi et rendent crédibles ses affirmations, à tout le moins s’agissant des avoirs bancaires. De toute manière, si le recourant se trompe il en sera pour ses frais, les séquestres demeurant alors infructueux. Cela ne nuit pas aux intérêts de la séquestrée. Finalement, peu importe : la réalisation de cette condition (l’existence de biens appartenant au débiteur) ne changerait rien au sort du recours, dès lors que l’autre condition cumulative (l’existence d’un cas de séquestre) n’est pas remplie. IX. En conclusion, le recours doit être rejeté et le prononcé attaqué confirmé. Vu l’issue du recours, les frais judiciaires de deuxième instance, arrêtés à 2’700 fr. (art. 61 OELP [Ordonnance fédérale du 23 septembre 1996 sur les émoluments perçus en application de la loi fédérale sur la poursuite pour dettes et la faillite ; RS 281.35]), doivent être mis à la charge du recourant, qui succombe (art. 106 al. 1 CPC). Le recourant versera à l’intimée des dépens de deuxième instance, qui doivent être fixés à 4’000 fr. (cf.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