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89 vom 20. April 2020</w:t>
      </w:r>
    </w:p>
    <w:p>
      <w:r>
        <w:t>VD Tribunal cantonal, 2020-04-20, FR</w:t>
      </w:r>
    </w:p>
    <w:p>
      <w:r>
        <w:rPr>
          <w:b/>
        </w:rPr>
        <w:t xml:space="preserve">Quelle: </w:t>
      </w:r>
      <w:r>
        <w:t>https://mcp.opencaselaw.ch/entscheid/vd_findinfo_ML___2020___89</w:t>
      </w:r>
    </w:p>
    <w:p>
      <w:r>
        <w:t>FR: VD_FINDINFO ML / 2020 / 89 du 20 avril 2020</w:t>
      </w:r>
    </w:p>
    <w:p>
      <w:r>
        <w:t>IT: VD_FINDINFO ML / 2020 / 89 del 20 aprile 2020</w:t>
      </w:r>
    </w:p>
    <w:p>
      <w:pPr>
        <w:pStyle w:val="Heading2"/>
      </w:pPr>
      <w:r>
        <w:t>Regeste</w:t>
      </w:r>
    </w:p>
    <w:p>
      <w:r>
        <w:t>DROIT D'ÊTRE ENTENDU, DROIT D'OBTENIR UNE DÉCISION, REFUS DE STATUER, MAINLEVÉE DÉFINITIVE, CLASSEMENT DE LA PROCÉDURE, POURSUITE POUR DETTES, DEMANDE RECONVENTIONNELLE, RETRAIT{VOIE DE DROIT}, VOIE DE DROIT, RADIATION DU RÔLE, DÉPENS | 29 al. 1 Cst., 80 al. 1 LP, 80 LP, 85 LP, 107 al. 2 CPC (CH), 224 al. 1 CPC (CH), 224 CPC (CH), 241 al. 3 CPC (CH), 253 CPC (CH), 319 let. c CPC (CH), 321 al. 4 CPC (CH)</w:t>
      </w:r>
    </w:p>
    <w:p>
      <w:pPr>
        <w:pStyle w:val="Heading2"/>
      </w:pPr>
      <w:r>
        <w:t>Erwägungen</w:t>
      </w:r>
    </w:p>
    <w:p>
      <w:r>
        <w:rPr>
          <w:b/>
        </w:rPr>
        <w:t>E. 19</w:t>
      </w:r>
    </w:p>
    <w:p>
      <w:r>
        <w:t>décembre 2008 ; RS 272) est un acte purement déclaratif, dès lors que les actes visés par l’art. 241 al. 1 CPC (transaction, acquiescement et désistement d’action) mettent déjà fin déjà la procédure; elle se borne à attester la liquidation préalable du procès par un de ces trois actes en vue d'une éventuelle exécution (ATF 143 III 564 consid. 4.2.1 ; ATF 139 III 133 consid. 1.2 et références, JdT 2014 II 268 ; TF 5A_667/2018 du 2 avril 2019 consid. 3.2 et références ; Tappy, in Bohnet et alii, Commentaire romand, Code de procédure civile, 2 e éd., n. 5 ad art. 241 CPC). Le juge ne rend pas de décision judiciaire sur le fond, même si formellement, il rend une ordonnance de radiation de l'affaire du rôle (TF 5A_667/2018 précité). Dès lors la voie de l’appel et du recours n’est pas ouverte contre cette décision, la partie devant faire usage de la voie de la révision, sauf en ce qui concerne les frais (art. 110 CPC) (ATF 139 III 133 précité consid. 1.2 et références ; Tappy, op. cit., nn. 37, 37a et 39 ad art. 241 CPC et références). bb) L’article 319 let. c CPC ouvre la voie du recours des art. 319 ss CPC pour le retard injustifié du tribunal. Ce recours couvre également l’hypothèse d’une absence de décision, constitutive de déni de justice matériel, et d’un refus exprès de l’autorité de rendre une décision alors qu’elle y est tenue, constitutif d’un déni de justice formel (TF 4A_593/2017 du 20 août 2018 consid.  3.2.2 ; Jeandin, in Commentaire romand, Code de procédure civile précité, n. 27 ad art. 319 CPC et références ; CREC 16 avril 2012/135). Selon l’art. 321 al. 4 CPC, le recours pour retard injustifié peut être formé en tout temps. La jurisprudence a toutefois précisé que lorsque le déni de justice formel résulte d’une décision expresse de l’autorité, le recours doit être interjeté dans le délai de l’art. 321 al. 2 CPC (ATF 138 III 705 consid. 2.1 et références ; TF 4A_593/2017 précité ; TF 5A_355/2013 du 22 octobre 2013 consid. 3.2). cc) En l’espèce, le recours a été déposé dans le délai de dix jours de l’art. 321 al. 2 CPC. Motivé conformément à l’art. 321 al. 1 CPC et visant à la correction d’un déni de justice formel ainsi qu’à l’octroi de dépens plus élevés, il est recevable. b) Les déterminations de l’intimée sont recevables (art. 322 al. 2 CPC). Les pièces n os 1, 2, 3, 4 et celles réunies sous n° 5 produites avec les déterminations de l’intimée, figurent déjà au dossier de première instance. Elles sont en conséquence recevables. En revanche les pièces n os 6 et 7 sont nouvelles et partant irrecevables, vu la prohibition des preuves nouvelles prévue à l’art. 326 al. 1 CPC. II. Le recourant fait grief à l’autorité précédente de ne pas avoir traité et admis sa conclusion reconventionnelle en annulation de la poursuite en cause. Il y voit une violation de l’art. 224 CPC et soutient que cette conclusion était recevable. L’intimée fait valoir que le recourant a fait défaut à l’audience du 10 décembre 2019. Dans son courrier du 23 janvier 2020, l’autorité précédente a exposé que les conclusions reconventionnelles du recourant étaient devenues caduques, pour autant qu’elles aient été recevables, vu le retrait de la requête. a)aa) En vertu de l’art. 80 al. 1 LP, le créancier qui est au bénéfice d’un jugement exécutoire peut requérir du juge la mainlevée définitive de l’opposition. Le juge l’ordonne, à moins que l’opposant ne prouve par titre que la dette a été éteinte ou qu’il a obtenu un sursis, postérieurement au jugement, ou qu’il ne se prévale de la prescription (art. 81 al. 1 LP). Dans le canton de Vaud le juge de paix est compétent pour statuer sur la mainlevée d’opposition à une poursuite (art. 42b al. 1 ch. 3 LVLP [loi du 18 mai 1955 d’application dans le canton de Vaud de la LP ; BLV 280.05]). Le for de la poursuite est au domicile du débiteur (art. 46 al. 1 LP). Le juge de paix statue conformément aux dispositions régissant la procédure sommaire (art. 251 let. a CPC). Il n’y a ainsi pas de procédure de conciliation préalable (art. 198 let. a CPC). Selon l’art. 253 CPC, lorsque la requête ne paraît pas manifestement irrecevable ou infondée, le tribunal donne à la partie adverse l’occasion de se déterminer oralement ou par écrit. bb) Conformément à l’art. 85 LP, le poursuivi peut en tout temps requérir du tribunal du for de la poursuite l’annulation de la poursuite, s’il prouve par titre que la dette est éteinte en capital, intérêts et frais. Selon la jurisprudence, il convient d’ajouter à la liste de cette disposition l’inexistence de la créance. En effet la protection accordée à quiconque paie une dette seulement après la réquisition d’une poursuite (extinction) ne peut pas être plus grande que celle accordée à celui qui ne doit rien du tout (ATF 140 III 41 consid. 3.3.1 et références, JdT 2015 II 343). Le poursuivi ne peut apporter la preuve de l’extinction, du sursis ou de l’inexistence de la créance en poursuite qu’au moyen de pièces ; la simple vraisemblance ne suffit pas (ATF 140 III 41 précité consid. 3.3.2 ; ATF 125 III 149 consid. 2b/aa, JdT 1999 II 67). La situation matérielle doit être claire et manifeste. La notion de titre et de degré de preuve des art. 85 et 81 al. 1 LP (exception contre le titre à la mainlevée définitive) sont équivalent (ATF 140 III 41 précité et références). Le juge de l'action de l'art. 85 LP est - comme le juge de la mainlevée - un juge de l'exécution forcée, dont le rôle est de vérifier et de décider si, sur la base des pièces, la poursuite est admissible (ATF 140 III 41 précité consid. 3.4.2). Selon la jurisprudence, l'action en annulation de la poursuite selon l'art. 85 LP peut être intentée en tout temps, soit si le poursuivi a omis de former opposition en temps utile ou avant même le prononcé de la mainlevée définitive, lorsque la poursuite en est déjà au stade de l’opposition au commandement de payer (ATF 140 III 41 précité consid. 3.2.2 et 3.2.3). Elle suppose toutefois l'existence d'une poursuite en cours (ATF 140 III 41 précité consid. 3.2 i.i.; cf. ég. ATF 127 III 41 consid. 4) : l'action n'est recevable que si le poursuivi est le sujet passif d'une poursuite valable; la poursuite ne doit donc notamment pas être éteinte, respectivement périmée, par la forclusion du poursuivant d’en requérir la continuation (TF 5A_216/2018 du 11 septembre 2018 consid. 3.2 et références). Le jugement rendu en application de l’art. 85 LP ne déploiera des effets qu’en droit des poursuites et ne jouira pas de l’autorité de la chose jugée quant à l’existence de la créance litigieuse (ATF 140 III 41 précité consid. 3.1 ; ATF 125 III 149 consid. 2.b/aa, JdT 1999 II 67). Le juge de paix est compétent pour connaître cette action (art. 42b al. 1 ch. 3 LVLP) et la procédure sommaire est applicable (art. 251 let. c LP ; ATF 140 III 41 précité consid. 3.1). La Cour des poursuites et faillites du Tribunal cantonal et l’autorité de recours compétente en cette matière (art. 75 al. 1 LOJV [loi du 12 décembre 1979 d’organisation judiciaires ; BLV 173.01 ; CPF 12 février 2020/3 ; CPF 7 juillet 2014/247 ; CPF 31 mai 2012/170). b)aa) Aux termes de l’art. 224 al. 1 CPC, applicable en procédure sommaire (art. 219 CPC ; Bohnet, in Commentaire romand, Code de procédure civile précité, n. 4 ad art. 253 CPC), le défendeur peut déposer une demande reconventionnelle dans sa réponse si la prétention qu'il invoque est soumise à la même procédure que la demande principale. S’ajoute en procédure sommaire la condition que les conclusions reconventionnelles ne doivent pas retarder de manière excessive la procédure principale, la sanction de cette condition étant la division de cause (Bohnet, loc. cit.). Dans le cadre de l’action en libération de dette de l’art. 83 al. 2 LP, la jurisprudence admet le dépôt d’une demande reconventionnelle, pour autant que celle-ci soit connexe aux conclusions principales (ATF 124 III 207 consid. 3b/bb ; ATF 58 I 165 consid. 3 ; TF 4C.367/2004 du 22 mars 2005 consid. 3.1). Il en est de même dans le cadre d’une action en annulation de la poursuite de l’art. 85a LP (CACI 12 juin 2019/322). La condition de la connexité est réalisée dès lors que les prétentions reposent pour l'essentiel sur les mêmes faits ou fondements juridiques. Il faut en outre que le même tribunal soit compétent à raison de la matière, relativement à toutes les prétentions, et que celles-ci soient soumises à la même procédure (ATF 137 III 311 consid. 5.1.1). En procédure de mainlevée, aucune prétention de droit matériel (conclusions en condamnation ou en constatation) ne peut être cumulée avec les conclusions portant sur la mainlevée au sens des art. 80 ss. LP. De même, les conclusions reconventionnelles en paiement ou en constatation négative de droit du poursuivi doivent être déclarées irrecevables (TF 5A_317/2012 du 20 juin 2012 consid. 1.5 ; Abbet, in Abbet/Veuillet, La mainlevée de l’opposition, n. 73 ad art. 84 LP) bb) Contrairement à ce qui est prévu en cas de conclusions prises dans une réponse sur appel (appel joint, art. 313 CPC), qui deviennent caduques si l’appel principal est retiré avant le début des délibérations (art. 313 al. 2 let. c CPC), le sort des conclusions reconventionnelles prises dans la réponse est indépendant de celles prises au pied de la requête. En d’autres termes, le retrait de la requête n’a pas d’effet sur la validité des conclusions reconventionnelles. La demande reconventionnelle doit ainsi être tranchée même si la demande principale est retirée ou déclarée irrecevable (Bohnet, op. cit., n. 11 ad art. art. 224 CPC). En effet, les conclusions reconventionnelles constituent une demande, comme la demande principale, par laquelle le défendeur exerce une prétention indépendante de celle de sa partie adverse et qu’il aurait pu exercer dans une procédure séparée (ATF 142 III 713 consid.4.2 et références, JdT 2017 II 295 ; ATF 124 III 207 consid. 3a, JdT 1999 II 55 ; ATF 123 III 35 consid. 3c, JdT 1997 I 322). c)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Commet un déni de justice formel et viole par conséquent l’art. 29 al. 1 Cst. (Constitution fédérale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144 II 184 consid. 3.1 ; ATF 141 I 172 consid. 5 et les réf. cit). d)aa) En l’espèce, l’intimée a, par acte daté du 27 septembre 2019 mais remis à la poste le 1 er octobre 2019, requis du premier juge qu’il prononce, avec suite de frais et dépens, la mainlevée définitive de l’opposition à la poursuite n° 9'295'799 à concurrence des montants en poursuite, en capital et intérêts. Dans ses déterminations du 22 novembre 2019, le recourant, a conclu, avec suite de frais et dépens, au rejet de la requête de mainlevée et, reconventionnellement, à l’annulation de la poursuite n° 9'295'799 en application de l’art. 85 LP. Tant la procédure de mainlevée que celle de l’art. 85 LP sont de purs incidents de la poursuite et n’ont aucun effet de droit matériel. Elles sont toutes les deux soumises à la procédure sommaire et portent dans le présent cas sur la même poursuite, reposant ainsi pour l'essentiel sur les mêmes faits ou fondements juridiques. Le recourant étant domicilié à [...], le for de la poursuite (art. 46 al. 1 LP) était situé dans le ressort du premier juge, de sorte que celui-ci était compétent tant pour la procédure de mainlevée (art. 84 al. 1 LP) que pour la procédure d’annulation de la poursuite (art. 85 LP). Il n’apparaît en outre pas que la conclusion reconventionnelle du recourant aurait entraîné un retard excessif de la procédure de mainlevée, étant précisé que la sanction n’aurait pas été l’irrecevabilité de cette conclusion, mais la disjonction des causes. Ainsi, les conditions posées par l’art. 224 al. 1 CPC et la jurisprudence susmentionnée étaient réalisées. De plus, en tant que poursuivi, le recourant avait un intérêt digne de protection à agir (art. 59 al. 2 let. a CPC). A cet égard, son défaut à l’audience du 10 décembre 2019 n’était pas déterminant. En effet, l’art. 147 al. 2 CPC dispose que, dans cette hypothèse, la procédure suit son cours sans qu’il soit tenu compte du défaut, sauf sanction particulière prévue par la loi. Or celle-ci n’en prévoit aucune en cas de défaut d’une partie à une audience de mainlevée. La conclusion reconventionnelle litigieuse était donc bien recevable. bb) Par courrier daté du 18 décembre 2019 mais remis à la poste le lendemain, l’intimée a retiré sa requête de mainlevée. Ce retrait n’a pas eu d’effet sur la conclusion reconventionnelle du recourant en annulation de la poursuite, vu le caractère indépendant de celle-ci (cf. consid. IIb)bb ci-desus). Le premier juge devait donc statuer sur cette conclusion et a commis un déni de justice formel en ne le faisant pas et en rayant la cause du rôle. cc) Le recours doit ainsi être admis et la décision attaquée annulée, ce qui rend sans objet les griefs du recourant en relation avec la quotité des dépens alloués, l’autorité précédente devant de toute façon fixer ceux-ci à nouveau après avoir statué sur la conclusion litigieuse. III. a) En conclusion, le recours doit être admis et la décision annulée, la cause étant renvoyée à l’autorité précédente pour nouvelle décision dans le sens des considérants. b)aa) Selon l’art. 106 al. 1 CPC, les frais sont mis à la charge de la partie succombante. Aux termes de l’art. 107 al. 2 CPC, les frais judiciaires qui ne sont pas imputables aux parties ni au tiers peuvent être mis à la charge du canton si l’équité l’exige. La doctrine majoritaire déduit de la lettre de cette disposition que celle-ci ne couvre pas les dépens, qui ne peuvent donc être mis à la charge de l’Etat dans cette hypothèse (Tappy, op. cit., nn. 34 et 35 ad art. 107 CPC ; Rüegg/Rüegg, in Spühler/Tenchio/ Infanger (éd.), Basler Kommentar, ZPO, 3 e éd., n. 11 ad art. 107 CPC ; Urwyler/Grütter, in Brunner/Gasser/Schwander (éd.), Schweizerische Zivilprozessordnung Kommentar, 2 e éd., n. 13 ad art. 107 CPC ; Sterchi, Berner Kommentar, n. 25 ad art. 107 CPC). Ces auteurs et la doctrine minoritaire réservent les cas où le Tribunal fédéral a appliqué l’art. 106 al. 1 CPC à l’Etat lorsque celui-ci est partie ou peut être assimilé à celle-ci (refus injustifié de l’assistance judiciaire ; admission d’un recours pour déni de justice ; conflit de compétence négatif) (ibidem ; Jenny, in Sutter-Somm/Hasenböhler/Leuenberger (éd.), Kommentar zur Schweizeri-schen Zivilprozessordnung, n. 26 ad art. 107 CPC ; Schmid, in Oberhammer/ Domej/Haas, Kurzkommentar ZPO, 2 e éd., n. 15 ad art. 107 CPC). Dans l’arrêt 138 III 471 consid. 7, relatif à un conflit de compétence négatif, le Tribunal fédéral a constaté que le tribunal de district saisi en premier par les demanderesses avait décliné d’office sa compétence, sans requête des parties, et que le tribunal de commerce, également saisi par les demanderesses, avait aussi décliné sa compétence en mettant à la charge des demanderesses des frais judiciaires de 11'000 fr. et des dépens, par 6'700 francs. Après avoir jugé que le tribunal de district avait à tort décliné sa compétence, le Tribunal fédéral a relevé que les défenderesses n’avaient déposé aucune requête infondée devant ces deux tribunaux et a considéré en conséquence que les frais judiciaires et les dépens de première instance n’étaient pas imputables aux parties et qu’ils devaient être laissés à la charge de l’Etat en application de l’art. 107 al. 2 CPC. Dans un arrêt ultérieur, relatif à une ordonnance provisionnelle d’émondage de haie accompagnée de la fixation d’un délai au demandeur pour ouvrir action en confirmation au fond, sous peine de caducité de l’ordonnance, le Tribunal fédéral a considéré qu’il n’était pas arbitraire de s’écarter de la solution de l’ATF 138 III 471 susmentionné, pour le motif qu’il ne s’agissait pas d’un déni de justice caractérisé (« eigentliche Rechtverweigerung ») des tribunaux cantonaux, mais d’une erreur manifeste (« offenkundiges Versehen ») que le tribunal aurait pu corriger d’office ou sur requête et qui ne nécessitait pas un recours, les frais de mandataire pour la procédure de recours devant être considéré comme inutiles au sens de l’art. 108 CPC (TF 5A_278/2013 du 5 juillet 2013 consid. 4.2). Dans un autre arrêt, où un tribunal des baux avait à tort statué au fond après avoir, au stade des débats principaux, demandé et obtenu des parties des déterminations concluant à sa compétence matérielle, le Tribunal fédéral, statuant sur les recours des deux parties contre l’arrêt de l’autorité cantonale de recours prononçant d’office l’irrecevabilité de la demande pour défaut de compétence matérielle du tribunal des baux, a considéré que ce cas se différenciait de celui jugé dans l’ATF 138 III 471 précité en ce sens que le tribunal des baux avait statué sur sa compétence après déterminations des parties admettant celle-ci et que, dans sa demande de déterminations, le tribunal des baux avait attiré l’attention des parties sur une jurisprudence rendue après l’introduction de la demande excluant catégoriquement sa compétence. Le Tribunal fédéral a en conséquence refusé de mettre les dépens de première instance à la charge de l’Etat (TF 4A_291/2015 du 3 février 2016 consid. 4.3.2). Dans un arrêt du 14 août 2014, publié aux ATF 140 III 385 (JdT 2015 II 128), le Tribunal fédéral a notamment émis les considérations suivantes : « (…) 4.1 En vertu de l’art. 107 al. 2 CPC, le tribunal peut si l’équité l’exige mettre à la charge du canton les frais judiciaires qui ne sont imputables ni aux parties ni au tiers. Le Tribunal supérieur pouvait considérer, sans tomber dans l’arbitraire, que l’art. 95 al. 1 CPC, sous le terme de ʺfraisʺ (ʺProzesskostenʺ, ʺspese giudiziarieʺ) distingue clairement les ʺfrais judiciairesʺ proprement dit (ʺGerichtkostenʺ, ʺspese processualiʺ) et les ʺdépensʺ (ʺParteientschädigungʺ, ʺspese ripetibiliʺ) et que dans la doute, la loi vise les seuls ʺfrais judiciairesʺ lorsqu’elle recourt aux termes ʺfrais judiciairesʺ (ʺGerichtkosten, ʺspese processualiʺ), comme c’est le cas à l’art. 107 al. 2 CPC. Même sur la base des commentaires, l’art. 107 al. 2 CPC ne constitue nullement une base légale qui oblige les cantons à allouer des dépens (…). Pour le surplus, il n’est pas démontré ni évident que les faits de la présente cause justifieraient une exception (ATF 138 III 471 consid. 7, p. 483 ; ATF 139 III 475 consid. 2.3, p. 478. » (…) » La cour de céans a déduit de ces arrêts que le Tribunal fédéral a restreint le champ d’application de l’ATF 138 III 471 au seul cas d’un déni de justice caractérisé, sans intervention erronée des parties (CPF 2 septembre 2019/218). bb) En l’espèce, les frais judicaires de deuxième instance, arrêtés à 570 fr., ne sont pas imputables aux parties. Ils doivent en conséquence être laissés à la charge de l’Etat en application de l’art. 107 al. 2 CPC. L’avance de frais de 570 fr. du recourant lui sera restituée. Obtenant gain de cause, le recourant a droit à des dépens de deuxième instance, arrêtés à 1’000 fr. (art. 106 al. 1 CPC ; art. 3 al. 2 et 8 TDC). Le déni de justice formel commis par l’autorité précédente doit être qualifié de simple. Il ne saurait donc entraîner la mise à la charge de l’Etat de ces dépens, qui doivent donc être supportés par l’intimée en application de l’art. 106 al. 1 CPC, ce d’autant plus que celle-ci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