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2020 / 79 vom 28. April 2020</w:t>
      </w:r>
    </w:p>
    <w:p>
      <w:r>
        <w:t>VD Tribunal cantonal, 2020-04-28, FR</w:t>
      </w:r>
    </w:p>
    <w:p>
      <w:r>
        <w:rPr>
          <w:b/>
        </w:rPr>
        <w:t xml:space="preserve">Quelle: </w:t>
      </w:r>
      <w:r>
        <w:t>https://mcp.opencaselaw.ch/entscheid/vd_findinfo_ML___2020___79</w:t>
      </w:r>
    </w:p>
    <w:p>
      <w:r>
        <w:t>FR: VD_FINDINFO ML / 2020 / 79 du 28 avril 2020</w:t>
      </w:r>
    </w:p>
    <w:p>
      <w:r>
        <w:t>IT: VD_FINDINFO ML / 2020 / 79 del 28 aprile 2020</w:t>
      </w:r>
    </w:p>
    <w:p>
      <w:pPr>
        <w:pStyle w:val="Heading2"/>
      </w:pPr>
      <w:r>
        <w:t>Regeste</w:t>
      </w:r>
    </w:p>
    <w:p>
      <w:r>
        <w:t>POUVOIR D'EXAMEN, CONSTATATION DES FAITS, MOTIVATION DE LA DEMANDE, DROIT D'ÊTRE ENTENDU, NOTIFICATION IRRÉGULIÈRE, MOTIVATION DE LA DÉCISION, PROLONGATION DU DÉLAI, MAINLEVÉE DÉFINITIVE, TITRE DE MAINLEVÉE, TRANSACTION JUDICIAIRE, INTERPRÉTATION{PROCÉDURE}, CONDITION SUSPENSIVE, FARDEAU DE LA PREUVE, CLAUSE PÉNALE, RÉPARTITION DES FRAIS | 151 CO, 160 al. 1 CO, 18 al. 1 CO, 29 al. 2 Cst., 80 al. 2 ch. 1 LP, 106 al. 2 CPC (CH), 136 CPC (CH), 138 al. 1 CPC (CH), 138 al. 3 let. a CPC (CH), 144 al. 2 CPC (CH), 223 al. 1 CPC (CH), 320 let. b CPC (CH)</w:t>
      </w:r>
    </w:p>
    <w:p>
      <w:pPr>
        <w:pStyle w:val="Heading2"/>
      </w:pPr>
      <w:r>
        <w:t>Erwägungen</w:t>
      </w:r>
    </w:p>
    <w:p>
      <w:r>
        <w:rPr>
          <w:b/>
        </w:rPr>
        <w:t>E. 1</w:t>
      </w:r>
    </w:p>
    <w:p>
      <w:r>
        <w:t>à 4, 6 à 8 et 10 à 15 du bordereau déposé avec le recours figurent déjà au dossier de première instance et sont par conséquent recevables. En revanche les pièces n os</w:t>
      </w:r>
    </w:p>
    <w:p>
      <w:r>
        <w:rPr>
          <w:b/>
        </w:rPr>
        <w:t>E. 5</w:t>
      </w:r>
    </w:p>
    <w:p>
      <w:r>
        <w:t>et 9 sont nouvelles et, partant, irrecevables, vu la prohibition des preuves nouvelles prévue à l’art. 326 CPC. b)aa) L’art. 320 CPC dispose que le recours est recevable pour violation du droit (let. a) et constatation manifestement inexacte des faits (let. b). Le grief de la constatation manifestement inexacte des faits ne permet que de corriger une erreur évidente, la notion se recoupant en définitive avec l'appréciation arbitraire des preuves (art. 9 Cst. [Constitution fédérale du 18 avril 1999 ; RS 101]) (ATF 138 III 232 consid. 4.1.2 ; TF 8D_5/2018 consid. 4 ; TF 4D_30/2017 consid. 2.2).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 encore faut-il que l'appréciation des preuves soit manifestement insoutenable, en contradiction flagrante avec la situation effective, qu'elle repose sur une inadvertance manifeste, ou encore qu'elle heurte de façon grossière le sentiment de la justice et de l'équité (ATF 140 III 264 consid. 2.3 ; ATF 137 III 226 consid. 4.2). bb) Selon l’art. 321 al. 1 CPC, le recours doit être motivé. La motivation du recours doit à tout le moins satisfaire aux exigences qui sont posées pour un acte d’appel (TF 5D_43/2019 du 24 mai 2019 consid. 3.2.2.1 ; TF 5A_488/2015 du 21 août 2015 consid. 3.2.1, publié in Revue suisse de procédure civile [RSPC] 6/2015 pp. 512 s., et les arrêts cités, Colombini, Code de procédure civile, Condensé de jurisprudence fédérale te vaudoise, n. 6.2 ad art. 321 CPC et références).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(ibid.). Aussi, la Cour d’appel civile a jugé que,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(CACI 29 juin 2017/273). cc) En l’espèce, le recours contient un état de fait mais n’explique pas en quoi le premier juge aurait constaté les faits de manière manifestement inexacte. Au vu des considérations qui précèdent, il n’appartient pas à la Cour de céans de comparer les faits retenus par le premier juge et ceux exposés par le recourant pour découvrir les divergences dont ce dernier entendrait faire état, de sorte que la Cour de céans n’en tiendra pas compte et statuera sur la base de l’état de fait du prononcé et des pièces figurant au dossier de première instance. II. La recourante fait grief au premier juge d’avoir accordé, après avoir fixé à l’intimé un premier délai échéant le 1 er avril 2019, une prolongation excessive d’un mois et demi pour déposer la réponse en application de l’art. 223 al. 1 CPC, alors même qu’il est possible en procédure de mainlevée de ne pas faire application de cette disposition. a)aa) Depuis l'entrée en vigueur du CPC, le 1 er janvier 2011, la procédure de mainlevée est régie par la procédure sommaire des art. 248 ss CPC (art. 251 let. a CPC; Staehelin, in Staehelin/Bauer/Staehelin (éd.), Basler Kommentar, SchKG I, 2e éd., n. 2a ad art. 84 SchKG). En application de l'art. 253 CPC, lorsque la requête ne paraît pas manifestement irrecevable ou infondée, le tribunal donne à la partie adverse l'occasion de se déterminer oralement ou par écrit. L'art. 84 al. 2 in initio LP prévoit également que le juge du for de la poursuite donne au débiteur, dès réception de la requête, l'occasion de répondre verbalement ou par écrit, avant qu'il ne notifie sa décision. Ces dispositions concrétisent le droit d'être entendu du défendeur ou intimé, respectivement du poursuivi, garanti par l'art. 53 CPC ainsi que par les art. 29 al. 2 Cst. (Constitution fédérale du 18 avril 1999 ; RS 101) et 6 § 1 CEDH (Convention du 4 novembre 1950 de sauvegarde des droits de l’homme et des libertés fondamentales ; RS 0.101) (Haldy, in Bohnet et al. [éd.], Commentaire romand, Code de procédure civile, 2 e éd., nn. 1 à 5 ad art. 53 CPC; Bohnet, in Commentaire romand, Code de procédure civile, précité, n. 2 ad art. 253 CPC; Chevallier, in Sutter-Somm/Hasenböhler/Leuenberger, Kommentar zur Schweizerischen Zivilprozessordnung, 3 e éd., n. 1 ad art. 253 CPC). L'art. 136 let. a, b et c CPC prévoit que le tribunal notifie aux personnes concernées les citations, les ordonnances et les décisions ainsi que les actes de la partie adverse. Aux termes de l'art. 138 al. 1 CPC, qui règle la forme de la notification, les citations, les ordonnances et les décisions sont notifiées par envoi recommandé ou d'une autre manière contre accusé de réception. Le fardeau de la preuve de la notification d'un acte et de la date de cette notification incombe à l'autorité qui entend en tirer une conséquence juridique et cette autorité supporte les conséquences de l'absence de preuve (Bohnet, op. cit., n. 35 ad art. 138 CPC). Une notification judiciaire est réputée accomplie lorsque le destinataire, qui n'a pas retiré le pli à l'issue du délai de garde de sept jours, devait s'attendre à recevoir cette notification (art. 138 al. 3 let. a CPC). Selon la jurisprudence, le débiteur qui fait opposition à un commandement de payer n'est pas censé se tenir prêt à tout moment à recevoir une requête de mainlevée, car il s'agit d'une nouvelle procédure (ATF 138 III 225 consid. 3.1; ATF 130 III 396, JdT 2005 II 87; TF 5A_552/2011 du 10 octobre 2011 consid. 2.1; TF 5D_130/2011 du 22 septembre 2011 consid. 2.1; TF 5A_710/2011 du 28 janvier 2011 consid. 3.1; TF 5A_172/2009 publié in BISchK 2010 p. 207 et note du rédacteur Hans-Jörg Peter et les références citées; Bohnet, op. cit., n. 27 ad art. 138 CPC). Ainsi, lorsque la convocation à l'audience de mainlevée et/ou l'acte introductif d'instance n'ont pas été retirés dans le délai de garde, ils doivent être notifiés à nouveau d'une autre manière contre accusé de réception (art. 138 al. 1 CPC), par exemple par huissier (Bohnet, op. cit., n. 31 ad art. 138 CPC). Cela a été rappelé dans de nombreux arrêts (notamment : JdT 2017 III 174 ; CPF 30 mars 2015/112 ; CPF 21 novembre 2014/391 ; CPF, 11 septembre 2013/356; CPF, 8 août 2013/312; CPF, 11 juillet 2012/270; CPF, 4 juillet 2012/258; CPF, 16 mai 2012/214; CPF, 1 er février 2012/13). bb) Selon l'art. 144 al. 2 CPC, applicable au délai de réponse en procédure de mainlevée (TF 5D_49/2013 du 29 juillet 2013 consid. 6 ; TF 5D_116/2013 du 16 juillet 2013 consid. 5), les délais fixés judiciairement peuvent être prolongés pour des motifs suffisants, lorsque la demande en est faite avant leur expiration. L’arrêt TF 5D_116/2013 précité mentionne à son considérant 6.1 notamment ce qui suit : « La doctrine est d'avis qu'une première prolongation de délai ne devrait que " rarement " être refusée (Tappy, in: Code de procédure civile commenté, 2011, no 10 ad art. 144 CPC). Cela ne signifie toutefois pas, que l'art. 144 al. 2 CPC conférerait au justiciable un droit " automatique " à ce que le délai de réponse soit prolongé. Cette norme pose comme condition à la prolongation l'existence de " motifs suffisants " qu'il appartient à la partie d'invoquer de façon motivée (Merz, in: Schweizerische Zivilprozessordnung (ZPO) Kommentar, Brunner/Gasser/Schwander [éd.], 2011, no 9 ad art. 144 CPC; H. Hoffmann-Nowotny, in: Kurzkommentar ZPO, 2010, no 13 ad art. 144 CPC; dans le même sens, s'agissant de l'art. 47 LTF dont l'art. 144 al. 2 CPC reprend la formulation [Message du 28 juin 2006 relatif au code de procédure civile suisse, FF 2006 6919]: Frésard, in: Commentaire de la LTF, 2009, no 16 ad art. 47 LTF; cf. Amstutz/Arnold, in: Basler Kommentar, Bundesgerichtsgesetz, 2e éd., 2011, no 6a ad art. 47 LTF). A cet égard, il suffit que soient rendues vraisemblables (Staehelin, in: Kommentar zur Schweizerischen Zivilprozessordnung, 2e éd., 2013, no 6 ad art. 144 CPC; Merz, op. cit., no 9 ad art. 144 CPC; Hoffmann-Nowotny, in: Kurzkommentar ZPO, 2010, no 13 ad art. 144 CPC) des circonstances qui, selon l'expérience générale de la vie, sont de nature à empêcher l'observation du délai ou du moins à contrarier l'exécution en temps voulu de l'acte de procédure (Staehelin, op. cit., no 5 ad art. 144 CPC; Merz, op. cit., no 6 ad art. 144 CPC; cf. Frésard, op. cit., no 10 ad art. 47 LTF). Savoir s'il existe des raisons suffisantes est une question qui est laissée à la large appréciation du juge; l'art. 144 al. 2 CPC est en effet conçu comme une norme potestative (" Kann-Vorschrift ") (Tappy, op. cit., nos 8 et 11 ad art. 144 CPC; Merz, op. cit., no 6 ad art. 144 CPC; Hoffmann-Nowotny, op. cit., nos 4 et 5 ad art. 144 CPC; cf. Frésard, op. cit., no 11 ad art. 47 LTF). Dans son appréciation, celui-ci mettra en balance l'importance du motif invoqué et l'intérêt au déroulement régulier de la procédure. Il tiendra compte des intérêts publics et privés (Staehelin, op. cit., no 5 ad art. 144 CPC; Hoffmann, op. cit., no 8; cf. Frésard, op. cit., ibidem; cf. Amstuz/Arnold, op. cit., no 7 ad art. 47 LTF). La sanction qui est attachée à l'inobservation du délai peut également jouer un rôle (cf. Frésard, op. cit., ibidem, les exemples cités) ainsi que l'exigence de célérité de la procédure que requiert la nature particulière de certaines affaires (Staehelin, op. cit., no 5 ad art. 144 CPC; Merz, op. cit., no 8 ad art. 144 CPC; Hoffmann-Nowotny, op. cit., no 4 ad art. 144 CPC; cf. Frésard, op. cit. no 12 ad art. 47 LTF; cf. Amstuz/Arnold, op. cit., no 7 ad art. 47 LTF) ou la nature de l'acte de procédure qui doit être accompli (cf. Frésard, op. cit., no 14 ad art. 47 LTF). Compte tenu de ce large pouvoir d'appréciation du juge, il faut admettre que le bien-fondé de sa décision ne pourra être remis en question que si, sans aucun motif, il a écarté des critères essentiels pour la décision ou, à l'inverse, s'est fondé sur des éléments dépourvus d'importance (en ce sens: Tappy, op. cit., no 11 ad art. 144 CPC, selon lequel l'autorité supérieure ne devrait que " rarement " s'écarter de la décision prise par le premier juge). » cc) Selon l’art. 223 al. 1 CPC, titre marginal « Défaut de réponse », si la réponse n’est pas déposée dans le délai imparti, le tribunal fixe au défendeur un bref délai supplémentaire. Si la réponse n’est pas déposée à l’échéance du délai, le tribunal rend la décision finale si la cause est en état d’être jugée. Sinon, la cause est citée aux débats principaux (art. 223 al. 2 CPC). La doctrine a précisé que cette disposition s’applique exclusivement à l’absence de dépôt de la réponse au sens des art. 222 ss (Tappy, in Commentaire romand, Code de procédure civile précité, n. 24 ad art. 223 CPC). Le Tribunal fédéral a considéré que l’art. 223 CPC ne s’appliquait pas dans la procédure de mainlevée (ATF 138 III 483 consid. 3) b) En l’espèce, le premier juge a adressé le 22 février 2019 la requête à l’intimé personnellement et lui a imparti un délai de détermination échéant le 1 er avril 2019. Ce courrier a été retourné par la poste au greffe de la justice de paix avec la mention « non réclamé ». Comme l’intimé ne devait pas s’attendre à recevoir une requête de mainlevée selon la jurisprudence mentionnée au consid. IIa)aa) ci-dessus, le délai de réponse n’a pas commencé à courir à l’échéance du délai de garde postal et l’hypothèse de l’art. 223 al. 1 CPC du défaut de réponse à l’échéance de ce délai n’était de ce fait pas réalisée. Le premier juge devait au contraire adresser à nouveau la requête à l’intimé, avec délai de réponse au sens de l’art. 253 CPC, en respectant les exigences de l’art. 138 al. 1 CPC, ce qui a été fait par le courrier recommandé du 16 avril 2019 qui a notamment imparti à l’intimé un délai de réponse échéant le 16 mai 2019. A cette date, le conseil de l’intimé a requis une prolongation au 6 juin 2019 du délai de réponse, invoquant une surcharge professionnelle et un séjour à l’étranger. Cette requête est intervenue avant l’échéance du délai, conformément à l’art.144 al. 2 CPC et il s’agissait d’une première demande de prolongation. A nouveau, l’hypothèse de l’absence de réponse dans le délai imparti de l’art. 223 al. 1 CPC n’était pas réalisée et le recourant ne prétend pas que le premier juge a écarté des critères essentiels pour sa décision ou, à l'inverse, s'est fondé sur des éléments dépourvus d'importance, en accordant cette première prolongation. La condition de motifs suffisants au sens de l’art. 144 al. 2 CPC justifiant la prolongation accordée doit donc être considérée comme remplie. Le recours doit donc être rejeté sur ce point. III. La recourante fait grief au premier juge de n’avoir pas tenu compte des arguments développés dans sa réplique en violation de son droit d’être entendue. a)aa) 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 La jurisprudence a déduit du droit d'être entendu garanti par l’art. 29 al. 2 Cst., le devoir de l'autorité ou du juge de motiver sa décision afin que le destinataire puisse la comprendre, l'attaquer utilement s'il y a lieu et que l'autorité de recours puisse exercer son contrôle. Pour répondre à ces exigences, le juge doit mentionner, au moins brièvement, les motifs qui l'ont guidé dans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(ATF 141 V 557 consid. 3.2.1 ; ATF 139 IV 179 consid. 2.2 ; ATF 138 I 232 consid.</w:t>
      </w:r>
    </w:p>
    <w:p>
      <w:r>
        <w:rPr>
          <w:b/>
        </w:rPr>
        <w:t>E. 5.1</w:t>
      </w:r>
    </w:p>
    <w:p>
      <w:r>
        <w:t>et les arrêts cités). La motivation peut par ailleurs être implicite et résulter des différents considérants de la décision (ATF 141 V 557 consid. 3.2.1) bb) Le droit d’être entendu est une garantie constitutionnelle de caractère formel, dont la violation doit entraîner l’annulation de la décision indépendamment des chances de succès du recours sur le fond (ATF 142 II 218 consid. 2.8.1 ; ATF 135 I 187 consid. 2.2 ; TF 5A_741/2016 du 6 décembre 2016 consid. 3.1.2 ; TF 4A_453/2016 du 16 février 2017 consid. 4.2.2, in RSPC 2017 p. 313 ; Colombini, Code de procédure civile, Condensé de jurisprudence fédérale et vaudoise, n. 15.1 ad art. 53 CPC). Une violation du droit d’être entendu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(ATF 142 II 218 consid. 2.8.1 ; ATF 136 III 174 consid. 5.1.2 ; TF 4A_35/2015 du 12 juin 2015 consid. 2.3 ; TF 5A_897/2015 du 1er février 2016 consid. 3.2.2 ; TF 5A_741/2016 consid. 3.1.2 précité ; Colombini, op. cit., n. 15.3.1 ad art. 53 CPC). Une réparation du vice procédural peut également se justifier, même en présence d’un vice grave, lorsque le renvoi à l’autorité précédente constitue une vaine formalité, provoquant un allongement inutile de la procédure, incompatible avec l’intérêt de la partie concernée à ce que sa cause soit tranchée dans un délai raisonnable (ATF 142 II 218 consid. 2.8.1 ; ATF 137 I 195 consid. 2.3.2 ; ATF 136 V 117 consid. 4.2.2.2 ; TF 4A_283/2013 du 20 août 2013 consid. 3.3, in RSPC 2014 p.5 ; TF 5A_925/2015 consid. 2.3.3.2 non publié à l’ATF 142 III 195 ; TF 5A_596/2018 du 26 novembre 2018 consid. 5.3 ; Colombini, op. cit., n. 15.3.2 ad art. 53 CPC). b) En l’espèce, dans sa réplique du 10 juillet 2019, la recourante a fait valoir que la transaction judiciaire constituait un titre à la mainlevée définitive. Elle a relevé que le débiteur devait, selon l’art. 81 al. 1 LP, prouver par titre l’extinction de la dette, la notion d’extinction couvrant également tout autre motif de droit civil, en particulier l’annulation ou la réalisation d’une condition résolutoire. Elle en a déduit que l’intimé devait établir par pièce avoir livré les quarante « boxes », y compris les quarante livres grand format, au 30 septembre 2018 conformément à la transaction en cause. Elle a relevé que le courrier du 19 septembre 2018 indiquait que les livres ne pouvaient être livrés, ce qui n’était pas acceptable, les « boxes » et les livres formant un tout, qu’elle avait à raison refusé cette exécution partielle par courrier du 25 septembre 2018 et que le caractère incomplet de la livraison était confirmé par le conseil de l’intimé dans son courriel du 27 septembre 2018, celui-ci indiquant que les livres n’étaient pas imprimés. Elle a fait valoir que l’impossibilité invoquée par l’intimée était subjective au sens de l’art. 163 al. 2 CO et ne pouvait dès lors entrer en ligne de compte. Elle en a conclu que l’argumentation de l’intimé était irrecevable. Le premier juge a exposé les principes juridiques applicables à la cause, en particulier qu’il appartenait au créancier d’établir la réalisation d’une condition suspensive. Il a ensuite listé en les résumant les pièces produites par les parties, puis a rappelé l’engagement pris par l’intimé dans la transaction judiciaire du 23 octobre 2017, de livrer soixante « boxes » à raison de vingt exemplaires les 31 mars et 30 septembre 2018, ainsi que le 31 mars 2019. Il a précisé les éléments constituant une « box » en relevant que le livre qui en faisait partie n’avait pas encore été imprimé lors de la première livraison. Il a rappelé qu’en cas de défaut d’exécution dans les délais prévus, l’intimé devait payer à la recourante une peine conventionnelle de 8'000 fr. par « box » et de 120 fr. par livre. Il a considéré que cette peine conventionnelle n’était exigible que si la recourante démontrait que l’intimé ne s’était pas exécuté, que celui-ci avait prouvé par les courriers des 19 et 25 septembre 2018 qu’il avait offert l’exécution litigieuse en conformité au ch. 4 de la transaction et que la recourante n’avait produit aucune pièce permettant de démontrer le contraire. Cette motivation permettait à la recourante de comprendre la décision et de l’attaquer en connaissance de cause. Il y lieu de considérer qu’elle est suffisante au regard des exigences de motivation découlant de l’art. 29 al. 2 Cst. Le recours doit être rejeté sur ce point. IV. a)aa) Le créancier qui est au bénéfice d’un jugement exécutoire peut requérir du juge la mainlevée de l’opposition (art. 80 al. 1 LP). Sont assimilées à des jugements notamment les transactions ou reconnaissances passées en justice (art. 80 al. 2 ch. 1 LP). Saisi d'une requête de mainlevée définitive, le juge se limite à examiner le jugement exécutoire ou les titres y assimilés, ainsi que les trois identités - l'identité entre le poursuivant et le créancier désigné dans ce titre (ATF 140 III 372 consid. 3.1),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Le juge doit notamment vérifier si la créance en poursuite résulte du jugement produit. Il n'a cependant pas à se déterminer sur son existence matérielle ni sur le bien-fondé du jugement la constatant. En particulier, il n'a pas à examiner les moyens de droit matériel que le débiteur pouvait faire valoir dans le procès qui a abouti au jugement exécutoire (ATF 143 III 564 consid. 4.3.1 ; ATF 142 III 78 consid. 3.1 ; 140 III 180 consid. 5.2.1 ; 124 III 501 consid. 3a). Si ce jugement est peu clair ou incomplet, il appartient au juge du fond de l'interpréter, le préciser ou le compléter (ATF 143 III 564 consid. 4.3.2 ; ATF 136 III 624 consid. 4.2.3 ; 135 III 315 consid. 2.3 ; 134 III 656 consid. 5.3.2 et les arrêts cités, JdT 2008 II 94 ; TF 5D_81/2012 du 12 septembre 2012 consid. 3.1 ; TF 5A_487/2011 du 2 septembre 2011 consid. 3.1 et les références). Cette limitation de son pouvoir d'examen ne signifie cependant pas que le juge de la mainlevée doive se fonder exclusivement sur le dispositif du jugement invoqué. Il peut aussi se référer aux considérants du jugement pour déterminer si celui-ci vaut titre de mainlevée définitive au sens de l'art. 80 al. 1 LP (ATF 143 III 564 consid. 4.3.2 ; ATF 134 III 656 consid. 5.3.2 et les références, TF 5D_171/2016 du 16 février 2017 consid. 5 ; TF 5D_81/2012 consid. 3.1 précité Abbet, in Abbet/Veuillet (éd.), La mainlevée de l’opposition, n. 26 ad art. 80 LP) ; ce n'est que si le sens du dispositif est douteux et que ce doute ne peut être levé à l'examen des motifs que la mainlevée doit être refusée. Le juge peut aussi prendre en considération à cette fin d'autres documents, dans la mesure où le jugement y renvoie (ATF 143 III 564 consid. 4.3.2 ; ATF 135 III 315 consid. 2.3 ; TF 5D_171/2016 consid. 5 précité ; TF 5A_217/2012 du</w:t>
      </w:r>
    </w:p>
    <w:p>
      <w:r>
        <w:rPr>
          <w:b/>
        </w:rPr>
        <w:t>E. 9</w:t>
      </w:r>
    </w:p>
    <w:p>
      <w:r>
        <w:t>juillet 2012 consid. 6.1.1 ; Abbet, op. cit., nn. 26 et 27 ad art. 80 LP). La transaction judiciaire est assimilée à un jugement et permet donc au poursuivant d’obtenir la mainlevée définitive de l’opposition, sans qu’il soit possible pour le poursuivi d’intenter l’action en libération de dette (art. 83 al. 2 LP). Au vu de cette assimilation et de ses conséquences, il n’y a aucune raison de traiter cet acte différemment d’un jugement. Comme en présence d’un jugement, pour constituer un titre de mainlevée définitive, la transaction judiciaire doit clairement obliger définitivement le débiteur au paiement d’une somme d’argent déterminée. Le juge de la mainlevée doit seulement décider si cette obligation en ressort (ATF 143 III 564 consid. 4.4.4). bb) Lorsque le jugement prévoit une condition suspensive, il incombe au créancier de prouver par titre immédiatement disponible sa réalisation, à moins que celle-ci ne soit reconnue sans réserve par le débiteur ou qu'elle ne soit notoire (ATF 143 III 564 consid. 4.2.2 ; ATF 141 III 489 consid. 9.2; TF 5D_88/2012 du 13 juillet 2012 consid. 4; TF 5A_487/2011 du 2 septembre 2011 consid. 3.2 et les références; TF 5P.324/2005 du 22 février 2006 consid. 3.2; dans le même sens pour la condition résolutoire à prouver par le débiteur: cf. ATF 143 III 564 précité et références). Vu son assimilation au jugement, les mêmes principes valent pour la transaction judiciaire (ATF 143 III 564 précité et référence). cc) La peine conventionnelle est la prestation que le débiteur promet au créancier en cas d'inexécution ou d'exécution imparfaite d'une obligation déterminée (obligation principale). Une telle promesse vise à protéger l'intérêt du créancier à l'exécution du contrat, en constituant une incitation supplémentaire pour le débiteur à se conformer au contrat. Elle améliore également la position juridique du créancier, qui est dispensé de prouver son dommage (cf. art. 161 al. 1 CO; ATF 135 III 433 consid. 3.1 ; ATF 122 III 420 consid. 2a ; TF 4A_653/2016 du 20 octobre 2017 consid. 3.1). Vu son caractère accessoire, la peine conventionnelle s'éteint notamment si l'obligation principale devient impossible sans la faute du débiteur (art. 119 al. 1 et art. 163 al. 2 CO); il appartient à ce dernier de prouver l'impossibilité (subséquente) et l'absence de faute (TF 4A_653/2016 précité ; TF 4C.36/2005 du 24 juin 2005 consid. 3.2). L'art. 163 al. 2 CO réserve une convention contraire; les parties peuvent ainsi conclure une clause pénale indépendante de toute faute, qui aura alors une fonction de garantie (TF 4A_653/2016 précité et références). b) En l’espèce, la transaction judiciaire du 23 octobre 2017 prévoit l’engagement de l’intimé notamment de livrer prêtes au transport dans les locaux d’O.________GmbH vingt « [...]Boxes », quarante livres grand format étant compris dans cette livraison, dans un délai échéant le 30 septembre 2019. La convention dispose en outre qu’en cas de demeure de l’intimé de plus de quatorze jours, celui-ci devra verser à la recourante 8'000 fr. par « [...]Box » et 120 fr. par livre grand format, soit en tout 164'880 fr. (160'000 + 4'800) pour la livraison partielle en cause. Cette transaction ne suffit pas à elle seule pour accorder la mainlevée définitive de l’opposition. En effet, la peine conventionnelle réclamée n’est due qu’en cas d’inexécution de l’intimé. L’obligation de verser ladite peine conventionnelle était ainsi suspendue tant que l’intimé n’était pas en demeure depuis quatorze jours. Contrairement à ce que soutient la recourante, il lui appartenait donc, vu la jurisprudence susmentionnée, d’établir par pièces que cette condition suspensive était réalisée, partant que la convention était demeurée inexécutée, à moins que cette inexécution ne soit notoire ou ait été admise sans réserve par l’intimé. La preuve portant sur un fait négatif, il appartenait à l’intimé de collaborer à cette preuve. Dans son courrier du 18 septembre 2018 et ses courriels des 25 et 27 septembre 2018, l’intimé indiquait que les vingt « boxes » seraient prêtes à emporter à la date convenue et n’a reconnu que l’absence de livraison des quarante livres grand format, ce que la recourante n’a pas contesté dans son courriel du 25 septembre 2018. Il y donc lieu d’admettre que seules les obligations relatives à la livraison de vingt « boxes » ont été exécutées par l’intimé, celui-ci ayant offert sa prestation. La question litigieuse est celle de savoir si l’intimé a valablement offert sa prestation. Ce qu’il faut déterminer est si l’intimé pouvait, s’agissant de la seconde livraison prévue par la transaction, livrer (ou offrir de livrer) les « [...]Boxes », mais non les livres, ou si, comme le fait valoir la recourante, ceux-ci formaient un tout indivisible. En effet, à deux reprises, l’intimé a offert une prestation partielle. A cet égard, l’ATF 141 III 106 (JdT 2015 II 398), qui a été rendu en matière de contrat d’entreprise, n’apparaît pas forcément déterminant, même s’il contient des considérations relatives au contrat de vente. En effet, les parties ont prévu dans la transaction une peine conventionnelle spécifique par « [...] Box » et par livre manquant, savoir 8'000 fr. par « [...] Box » et 120 fr. par livre. En ce qui concerne la seconde livraison, il est précisé que le montant de 164'800 fr correspond à l’addition de 160'000 fr. (soit vingt fois 8'000 fr. correspondant aux vingt « [...] Boxes », réd.) et de 4'800 fr. (soit quarante fois 120 fr. correspondant aux livres, réd.). Les parties avaient donc clairement prévu un défaut de livraison qui ne concernerait que les « [...] Boxes » ou que les livres – ou même qu’une partie d’entre eux d’ailleurs. Or, si une clause pénale a été prévue pour les « [...] Boxes » d’une part et pour les livres d’autre part, il est clair que la recourante ne pouvait refuser la livraison des premiers du fait que l’intimé n’était pas en mesures de fournir les seconds. Cela étant, l’intimé a effectivement valablement offert de faire livrer à temps les « [...] Boxes » ; si elles ne l’ont pas été, c’est uniquement en raison du refus de la recourante, qui n’a pas organisé le transport. Celle-ci ne dispose donc pas d’un titre à la mainlevée pour le montant de 160'000 fr., la clause pénale n’étant pas due. En revanche, l’intimé était de son propre aveu dans l’incapacité de fournir les livres dans le délai prévu et n’a pas démontré l’absence de faute de sa part dans cette carence. La clause pénale de 4'800 fr. est ainsi due. Pour ce montant de 4'800 fr. – mais ce montant uniquement – la condition prévue par la transaction judiciaire est bel et bien réalisée. L’intérêt moratoire sur le montant de 4'800 fr. court dès l’échéance du délai de trente jours après celle du délai de grâce de quatorze jours prévu par la transaction judiciaire en cause, soit dès le 14 novembre 2018. V. En conclusion, le recours doit être admis partiellement et le prononcé réformé en ce sens que la mainlevée définitive est accordée à concurrence de 4'800 fr. avec intérêt à 5 % l’an dès le 14 novembre 2018. La recourante obtient 4'800 fr. sur les 164'800 fr. réclamés en première instance, soit 2,91 % de ce dernier montant. Il convient en conséquence de mettre les frais judiciaires de première instance, fixés à 660 fr., à raison de dix-neuf vingtièmes, par 627 fr., à la charge de la poursuivante et à raison d’un vingtième à la charge du poursuivi, par 33 fr. (art. 106 al. 2 CPC). Ce dernier, qui devra rembourser au recourant son avance de frais à hauteur de 33 fr. (art. 111 al. 2 CPC), a droit à des dépens de première instance, arrêtés à 3’000 fr. (art. 3 al. 2 et 6 TDC) qu’il se justifie de réduire à ((19/20 x 3’000) – (1/20 x 3’000) =) 2’700 fr. (cf. Corboz, Commentaire de la LTF, n. 42 ad art. 68 LTF ; CACI 14 mars 2017/361 ; CACI 2 juin 2016/328 ; CACI 2 novembre 2012/513). Pour les mêmes raisons, les frais judiciaires de deuxième instance, arrêtés à 900 fr., doivent être mis à la charge de la recourante à hauteur de dix-neuf vingtièmes, par 855 fr. et à raison d’un vingtième à la charge de l’intimé, par 45 francs. Ce dernier, qui devra rembourser au recourant son avance de frais à hauteur de 45 fr. (art. 111 al. 2 CPC), a droit à des dépens de deuxième instance, arrêtés à 1'500 fr. (art. 3 al. 2 et 8 TDC) qu’il se justifie de réduire à ((19/20 x 1’500) – (1/20 x 1’500) =) 1'350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