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36 vom 6. April 2020</w:t>
      </w:r>
    </w:p>
    <w:p>
      <w:r>
        <w:t>VD Tribunal cantonal, 2020-04-06, FR</w:t>
      </w:r>
    </w:p>
    <w:p>
      <w:r>
        <w:rPr>
          <w:b/>
        </w:rPr>
        <w:t xml:space="preserve">Quelle: </w:t>
      </w:r>
      <w:r>
        <w:t>https://mcp.opencaselaw.ch/entscheid/vd_findinfo_ML___2020___36</w:t>
      </w:r>
    </w:p>
    <w:p>
      <w:r>
        <w:t>FR: VD_FINDINFO ML / 2020 / 36 du 6 avril 2020</w:t>
      </w:r>
    </w:p>
    <w:p>
      <w:r>
        <w:t>IT: VD_FINDINFO ML / 2020 / 36 del 6 aprile 2020</w:t>
      </w:r>
    </w:p>
    <w:p>
      <w:pPr>
        <w:pStyle w:val="Heading2"/>
      </w:pPr>
      <w:r>
        <w:t>Regeste</w:t>
      </w:r>
    </w:p>
    <w:p>
      <w:r>
        <w:t>MAINLEVÉE DÉFINITIVE, CESSION DE CRÉANCE{CO}, AVANCE{EN GÉNÉRAL}, OBLIGATION D'ENTRETIEN, RÉTROACTIVITÉ, ASSISTANCE JUDICIAIRE, DÉNUEMENT | 80 al. 2 ch. 1 LP, 117 CPC (CH), 9 LRAPA</w:t>
      </w:r>
    </w:p>
    <w:p>
      <w:pPr>
        <w:pStyle w:val="Heading2"/>
      </w:pPr>
      <w:r>
        <w:t>Erwägungen</w:t>
      </w:r>
    </w:p>
    <w:p>
      <w:r>
        <w:rPr>
          <w:b/>
        </w:rPr>
        <w:t>E. 1</w:t>
      </w:r>
    </w:p>
    <w:p>
      <w:r>
        <w:t>et 2 CPC [Code de procédure civile du 19 décembre 2008 ; RS 272]). Il est ainsi recevable. La réponse déposée par l’intimé, dans le délai qui lui avait été imparti (art. 322 al. 1 CPC), est également recevable. II. a) L’intimé ayant déclaré se rallier « à la partie adverse s’agissant du chiffre II de ses conclusions », soit les conclusions en réforme, il convient d’examiner si cette déclaration constitue un acquiescement au sens de l’art. 241 CPC, dont il suffirait de prendre acte et d’annexer au procès-verbal de la cause (cf. 241 al. 2 et 3 CPC). b) L’acquiescement est une déclaration écrite et signée, mentionnant la conclusion à laquelle la partie intimée adhère (cf. ATF 141 III 489 ; Tappy, in Bohnet et al. (éd.), Commentaire romand, Code de procédure civile, 2ème éd., n. 20 ad art. 241 CPC). Il s’agit d’un acte de procédure unilatéral par lequel le défendeur reconnaît le bien-fondé de la prétention du demandeur et admet les conclusions de celui-ci (Hohl, Procédure civile, tome I, Introduction et théorie générale, 2ème éd. 2016, p. 398, n° 2396). Il porte sur le droit litigieux et non sur les faits (Tappy, loc. cit. ; TF 5A_667/2018 du 2 avril 2019 consid. 3.2). L'acquiescement, portant sur le droit litigieux et pas sur les faits, doit être distingué de la simple reconnaissance d'une allégation selon l'art. 222 CPC. Un certain formalisme s'impose et le juge ne saurait considérer comme ayant acquiescé à tout ou partie des conclusions adverse le plaideur qui n'aurait pas déposé pour être versé au procès-verbal une déclaration claire en ce sens, munie de sa signature (CACI 2 juillet 2019/372). c) En l’espèce, si l’intimé a fait une déclaration écrite et signée et s’il s’est référé à la conclusion II de la partie adverse, sa déclaration s’accompagne d’une condition. On ne voit pas comment cette condition pourrait être remplie, car il n’est pas possible d’énoncer la cause d’une obligation dans un dispositif de mainlevée. La déclaration de l’intimé ne saurait dès lors être tenue pour un acquiescement au sens de l’art. 241 CPC. III. a) Le recourant se prévaut d’une violation du droit d’être entendu, soit de son droit à un jugement motivé, puisque le premier juge ne s’est pas, selon lui, prononcé sur l’argumentation selon laquelle la cession de créance ne serait pas valable s’agissant des contributions d’entretien dues pour les mois d’août 2018 au mois d’octobre 2018. b)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 207/2018 du 15 juin 2018 consid. 2.1). c) Il est vrai que le premier juge ne s’est pas prononcé sur l’étendue de la cession de créance à la lumière des art. 8 et 9 al. 3 LRAPA. Cela étant, l’annulation serait en l’espèce une vaine formalité. Le recourant a pris ses conclusions en annulation de manière subsidiaire, renonçant implicitement à la double instance. L’intimé, quant à lui, ne conteste pas les moyens de réforme du recourant et fait donc de même. IV.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p. 16 ; Panchaud/Caprez, La mainlevée d’opposition, § 99 II).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Lorsque la créance en poursuite est une contribution d’entretien en faveur d’un enfant, se pose toutefois la question de la légitimation active du parent poursuivant. En vertu de l’art. 289 al. 1 CC,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lorsqu’elle a été fixée dans une procédure (CPF, 18 novembre 2013/460 ; 10 mars 2011/76 CPF, 24 septembre 2009/304; CPF, 13 novembre 2008/554; CPF, 13 novembre 2007/471; CPF, 7 juillet 2005/229; CPF, 9 juin 2005/193; CPF, 11 mars 2004/86 et les références citées; cf. aussi ATF 129 III 55 c. 3.1.2, rés. in JT 2003 I 210; Perrin, Commentaire romand, n. 4 ad art. 289 CC).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b) La poursuite porte sur un arriéré de pensions alimentaires dû en faveur des enfants du recourant pour la période du 1 er août 2018 au 31 mai 2019, soit dix mois à 2'976 francs. Elle est fondée sur un arrêt du Tribunal fédéral du 30 août 2018. Il n’est pas contesté ni contestable que cet arrêt vaut titre à la mainlevée définitive. Le poursuivant a produit une déclaration de cession en faveur de l’Etat de Vaud, signée le 3 avril 2019 par [...] – la mère des crédirentiers mineurs, en mains de qui les contributions doivent être payées – pour les pensions échues dès le 1 er août 2018 (art. 9 al. 2 de la loi du 10 février 2014 sur le recouvrement et les avances sur pensions alimentaires – LRAPA [BLV 850.36]) et pour les contributions futures, conformément à l’article 9 alinéa 3 LRAPA. Cette disposition prévoit à ses alinéas 2 et 3 que l’octroi d’avances au créancier d’aliments est subordonné à la cession à l’Etat de ses droits sur la pension future, et que cette cession peut porter également sur les pensions échues dans les six mois antérieurs à l’acte de cession. L’article 8 alinéa 1 LRAPA prévoit quant à lui que le service agit en tant que mandataire du requérant ou de son représentant légal pour les pensions à venir et pour celles échues dans les six mois antérieurs à son intervention. Le recourant fait donc valoir que la cession n’est valable que pour la période à partir du 1 er novembre 2018. Les pensions sont échues le premier de chaque mois. La cession ayant été signée le 3 avril 2019, ce mois était échu. Les six mois à prendre en considération sont donc effectivement ceux de novembre 2018 à avril 2019. On ne saurait soutenir que même si la loi vaudoise ne prévoit que des cessions rétroactives de six mois, la titulaire de la créance a en l’espèce bel et bien cédé ses créances pour les contributions à partir du 1 er août 2018 – bien que la référence à l’article 9 alinéa 2 LRAPA puisse conférer à cette déclaration une certaine ambiguïté. En effet, il résulte de la loi vaudoise que le BRAPA n’est pas habilité à se faire céder davantage qu’un arriéré de six mois. Dans la mesure où elle dépasse six mois rétroactifs, la cession apparaît ainsi illicite (art. 20 CO). Il faut donc donner raison au recourant, en ce sens que la mainlevée définitive doit être prononcée pour les contributions dues de novembre 2018 à mai 2019, soit sept mois, ce qui correspond à (2'976 x 7 =) 20'832 francs. Le recourant conclut à ce que la mainlevée soit prononcée à hauteur de 19'995 fr. 20. Il faut en effet tenir compte encore des deux montants de 418 fr. 40 déduits par le premier juge, et qui ne sont pas litigieux en deuxième instance. Dans la mesure où aucun intérêt n’est demandé, il n’y a pas de sens à déduire ces montants « valeur au … ». On arrive donc bien à un montant de 19'995 fr. 20. V. Au vu de ce qui précède, le recours doit être admis et le prononcé réformé en ce sens que le montant pour lequel la mainlevée définitive de l’opposition est ordonnée est ramené à 19'995 fr. 20. Cela représente effectivement 67 % des conclusions litigieuses, de sorte que les frais de première instance, arrêtés à 360 fr. (art. 48 de l’ordonnance sur les émoluments perçus en application de la loi fédérale sur la poursuite pour dettes et faillite [OELP ; RS 281.35]), doivent être répartis dans cette mesure (art. 106 al. 2 CPC), et mis à la charge du poursuivi à raison de deux tiers, soit 240 fr., et du poursuivant à raison d’un tiers, soit 120 francs. Le recourant a pris ses conclusions « avec suite de frais et dépens ». On considère en général que cela concerne les deux instances. Mais dans le cas d’espèce, le recourant a détaillé ses conclusions en réforme, y compris sur les frais de première instance (y compris les dépens), demandant à devoir « rembourser (…) son avance de frais à concurrence de CHF 240, sans allocation de dépens pour le surplus ». Même s’il a procédé avec l’assistance d’un avocat, il n’y a pas lieu de lui allouer des dépens réduits pour la première instance, le recourant y ayant ainsi renoncé. En deuxième instance, les frais judiciaires, arrêtés à 540 fr. (art. 61 al. 1 OELP), sont mis à la charge de l’intimé, qui succombe (art. 106 al. 1 CPC). Compte tenu de la valeur litigieuse et du niveau de complexité de la cause, un montant de 700 fr. pour toutes choses (art. 3, 8 et 19 al. 2 TDC) sera alloué au recourant à titre de dépens. VI. a) Le recourant a demandé d’être mis au bénéfice de l’assistance judiciaire pour la deuxième instance.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Colombini, Code de procédure civile, Condensé de la jurisprudence fédérale et vaudoise, n. 2.5.1 ad art. 117 CPC).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Il y aura également lieu de tenir compte des charges de loyer, des primes d’assurance obligatoires ou usuelles et des frais de transport nécessaires à l’acquisition du revenu établis par pièces, ainsi que de la charge fiscale, pour autant que ces sommes soient plus ou moins régulièrement payées (TF 4D_30/2015 du 26 mai 2015 consid. 3.1 ; TF 5A_328/2016 du 30 janvier 2017 consid. 4.2). En effet, en ce qui concerne les engagements financiers du requérant, seules les charges réellement acquittées sont susceptibles d’entrer dans le calcul du minimum vital (ATF 135 I 221 consid. 5.1). En outre, la jurisprudence considère que l’assistance judiciaire n’est pas destinée à satisfaire indirectement et aux frais de la collectivité publique des créanciers qui ne contribuent pas ou plus à l’entretien courant du plaideur requérant (TF 6B_977/2018 du 10 octobre 2018 consid. 4 ; TF 4A_4/2019 du 7 mai 2019 consid. 4 ; Colombini, op. cit., 2.5.2 ad art. 117 CPC et les réf. citées).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le requérant devant indiquer de manière complète et établir autant que faire se peut sa situation économique (ATF 135 I 221 ; Auer/Malinverni/Hottelier, Droit constitutionnel suisse, vol. Il, 3e éd., 2013, pp. 711-713).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 c) En l’espèce, le recours n’était pas manifestement dénué de chance de succès puisqu’il est admis. Il convient plutôt d’examiner la condition d’indigence posée par l’art. 117 let. a CPC. L’intimé gagne 5'367 fr. 05 (6'470 fr. sous déduction des charges sociales de 561 fr. 75 et de 454 fr. 45 et d’une « retenue repas » de 87 fr. 40). En ce qui concerne les charges, il y a lieu de tenir compte du montant de base LP majoré de 25%, soit 1'500 fr. (1'200 x 125%), de 1'750 fr. de loyer, de 357 fr. 50 (444 fr. 90, sous déduction de 6 fr. 40 de taxe environnementale et de 81 fr. de subside) de prime d’assurance-maladie obligatoire, de 105 fr. des frais de parking (à titre de frais de transport), ainsi que d’une saisie de salaire, opérée par l’Office des poursuites (cf. TF 5A_810/2011 du 7 février 2012 consid. 3.2.1 ; Colombini, op. cit., n. 2.5.4 ad art. 117 CPC), à hauteur de 250 fr. par mois. Le montant de 2'976 fr. par mois allégué à titre de pension alimentaire ne sera pas compté, dans la mesure où il est établi que le requérant ne la paie pas. Il en va de même des frais médicaux non remboursés, qui avaient été allégués en première instance par 250 fr., puisqu’il n’est pas établi par pièce en deuxième instance que le requérant s’en acquitte toujours. Au vu du revenu de 5'367 fr. 05 et des charges qui s’élèvent à 3’962 francs 50 (1'500 fr. + 1’750 fr. + 357 fr. 50 +105 fr. + 250 fr.), le requérant dégage un disponible de 1’404 fr. 50. Ce montant lui permettra d’amortir les frais judiciaires et d’avocat en tous les cas en moins d’une année, d’autant qu’il lui est dû des dépens. Par ailleurs, le requérant ne supporte pas l’émolument judiciaire en deuxième instance. Dans ces circonstances, la condition d’indigence n’est pas remplie, ce qui justifie de rejeter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