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255 vom 10. Dezember 2020</w:t>
      </w:r>
    </w:p>
    <w:p>
      <w:r>
        <w:t>VD Tribunal cantonal, 2020-12-10, FR</w:t>
      </w:r>
    </w:p>
    <w:p>
      <w:r>
        <w:rPr>
          <w:b/>
        </w:rPr>
        <w:t xml:space="preserve">Quelle: </w:t>
      </w:r>
      <w:r>
        <w:t>https://mcp.opencaselaw.ch/entscheid/vd_findinfo_ML___2020___255</w:t>
      </w:r>
    </w:p>
    <w:p>
      <w:r>
        <w:t>FR: VD_FINDINFO ML / 2020 / 255 du 10 décembre 2020</w:t>
      </w:r>
    </w:p>
    <w:p>
      <w:r>
        <w:t>IT: VD_FINDINFO ML / 2020 / 255 del 10 dicembre 2020</w:t>
      </w:r>
    </w:p>
    <w:p>
      <w:pPr>
        <w:pStyle w:val="Heading2"/>
      </w:pPr>
      <w:r>
        <w:t>Regeste</w:t>
      </w:r>
    </w:p>
    <w:p>
      <w:r>
        <w:t>MAINLEVÉE DÉFINITIVE, TITRE DE MAINLEVÉE, DÉCISION EXÉCUTOIRE, RÉPARTITION DES FRAIS, ASSISTANCE JUDICIAIRE, RÉTROACTIVITÉ | 80 al. 1 LP, 81 al. 1 LP, 106 al. 2 CPC (CH), 117 CPC (CH), 118 al. 1 CPC (CH), 119 al. 4 CPC (CH)</w:t>
      </w:r>
    </w:p>
    <w:p>
      <w:pPr>
        <w:pStyle w:val="Heading2"/>
      </w:pPr>
      <w:r>
        <w:t>Erwägungen</w:t>
      </w:r>
    </w:p>
    <w:p>
      <w:r>
        <w:rPr>
          <w:b/>
        </w:rPr>
        <w:t>E. 22</w:t>
      </w:r>
    </w:p>
    <w:p>
      <w:r>
        <w:t>ad art. 80 LP ; Peter, Edition annotée de la loi sur la poursuite pour dettes et la faillite, p. 358 ; CPF 12 novembre 2015/312 consid. III a ).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(ATF 140 III 180 consid. 5.2.1 et les références citées). b) En l’espèce, la poursuivante a produit à l’appui de sa requête de mainlevée, outre un exemplaire du jugement de divorce sur lequel elle fonde sa prétention, une décision rendue le 30 janvier 2017 par la Juge de paix du district d’Aigle, prononçant la mainlevée définitive de l’opposition à la poursuite n° 7'913'265 exercée à l’instance de la recourante contre l’intimé à concurrence de 17'000 fr. plus intérêts au taux de 5% l’an dès les 18 juin 2016. Cette décision retient notamment, en fait, que la poursuivante a produit, à l’appui de sa requête de mainlevée, un extrait du jugement du 19 février 2016 duquel il ressortait que ce jugement était définitif et exécutoire dès le 15 avril 2016. On peut en déduire que le caractère exécutoire du jugement était ainsi attesté au sens de l’art. 336 al. 2 CPC. Or, le poursuivi n’a pas contesté ce fait, ni dans sa réponse à la requête de mainlevée, ni dans sa duplique ; en particulier, il n’a pas soutenu que le jugement de divorce ne serait pas exécutoire, ou que le prononcé du 30 janvier 2017, constatant qu’il l’était, aurait été attaqué – avec succès – pour constatation manifestement inexacte des faits. Il n’a pas non plus soulevé d’autres moyens libératoires au sens de l’art. 81 LP, mais a seulement contesté le bien-fondé de la créance. Dans ces circonstances, la juge de paix aurait dû constater que le jugement produit était exécutoire et prononcer la mainlevée définitive de l’opposition à concurrence de 17'000 francs. En revanche, c’est à raison qu’elle a relevé à propos des arguments du poursuivi, sans les examiner plus avant vu le sort du recours, « qu’il n’appartient pas au juge de la mainlevée de revoir le bien-fondé d’un jugement exécutoire et que la question du montant de 17'000 fr. qu’il a été condamné à payer à la poursuivante a été définitivement tranchée par le jugement du Tribunal d’arron-dissement si celui-ci est exécutoire ». c) Pour des motifs d’économie de procédure, il est admis que la mainlevée doit être accordée pour l’intérêt moratoire de la créance reconnue dans la décision exécutoire même s’il n’est pas expressément alloué par celle-ci (Abbet, in Abbet/Veuillet, La mainlevée de l’opposition, n. 43 ad art. 80 LP et les réf. cit.). Selon le Tribunal fédéral, l’intérêt court non pas dès l’entrée en force de la décision mais, à défaut d’autre mise en demeure, dès le lendemain de la notification du commandement de payer (TF 5D_13/2016 du 18 mai 2016 consid. 2.3.3 et les réf. cit.), qui vaut interpellation au sens de l’art. 102 al. 1 CO (Code des obligations ; RS 220). La recourante réclame un intérêt moratoire au taux de 5% l’an dès le 19 décembre 2016 sur le montant de 17'000 francs. Dès lors qu’elle avait fait notifier à l’intimé un commandement de payer concernant ce montant le 17 juin 2016, dans la poursuite n° 7'913'265, l’intimé a ainsi été mis en demeure et l’intérêt moratoire devait en tout cas être alloué dès le 18 juin 2016. Eu égard à l’interdiction de statuer ultra petita , il convient toutefois de s’en tenir aux conclusions de la recourante quand au point de départ de l’intérêt. d) Vu ce qui précède, le recours doit être admis sur ce point et le prononcé réformé en ce sens que la mainlevée définitive de l’opposition est accordée à concurrence de 17'000 fr., avec intérêt à 5% l’an dès le 19 décembre 2016. III. S’agissant du montant de 11’643 fr. 30 réclamé dans la poursuite à titre de « Contribution d’entretien arriérée pension alimentaire », dont elle reproche à l’intimé de ne pas s’être acquitté entre le 1 er octobre 2012 et le 18 février 2016, la recourante invoque l’arrêt de la Juge déléguée de la CACI du 4 novembre 2013, par lequel l’intimé a été condamné à lui verser une pension provisionnelle de 700 fr. par mois dès le 19 novembre 2012. a) aa)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137 III 49 consid. 3.5 ; ATF 134 III 426 consid. 1.2 ; cf. implicitement : ATF 144 III 368 consid. 3.5 ; TF 5A_182/2018 du 25 juin 2018 consid. 3.2).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(ATF 111 II 401 consid. 4b ; ATF 109 Ia 53 consid. 2 ; TF 5A_182/2018 du 25 juin 2018 consid. 3.2 ; TF 5A_633/2015 du 18 février 2016 consid. 4.1.2 et les réf. cit.). La seule exception au principe de l’unité du jugement de divorce concerne la liquidation du régime matrimonial, qui peut être renvoyée à une procédure séparée pour de justes motifs (art. 283 al. 2 CPC ; CPF 16 décembre 2019/260 consid. IV a/bb). bb) Dans le cas d’espèce, le montant de 11’643 fr. 30 réclamé par la recourante correspond à des arriérés de pensions provisionnelles. Si elle peut ainsi se prévaloir pour celles-ci d’un jugement valant en principe titre de mainlevée définitive, l’intimé dispose quant à lui d’un titre postérieur, le jugement de divorce, aux termes duquel les prétentions précitées devraient être considérées éteintes. Cette question peut toutefois rester ouverte au vu de ce qui suit. b) aa) En vertu des art. 67 al. 1 ch. 4 et 69 al. 2 ch. 1 LP, la réquisition de poursuite et le commandement de payer doivent énoncer la cause de l’obligation. Le but de cette exigence est de répondre à un besoin de clarté et d'information du poursuivi quant à la prétention alléguée, afin de lui permettre de prendre position sans être contraint de former opposition pour obtenir, dans une procédure de mainlevée subséquente ou un procès en reconnaissance de dette, les renseignements sur la créance qui lui est réclamée (ATF 141 III 173 consid. 2.2.2). Selon la jurisprudence, lorsque la poursuite tend au recouvrement de prestations périodiques (contributions d'entretien, salaires, loyers, etc.), la réquisition de poursuite, et donc le commandement de payer, doivent indiquer avec précision les périodes pour lesquelles ces prestations sont réclamées. Même si elles dérivent d'une même cause juridique, elles n'en sont pas moins des créances distinctes, soumises à leur propre sort (ATF 141 III 173 consid. 2.2.2 ; TF 5A_861/2013 du 15 avril 2014 consid. 2.3 ; CPF 1 er novembre 2016/342 consid. II a et les réf. cit. ; CPF 16 mars 2012/80 consid. II b, in BlSchK 2013 p. 32).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 er novembre 2016/342 consid. II a ; CPF 11 juillet 2016/153 consid. III a et les réf. cit. ; CPF 16 mars 2012/80 consid. II b, in BlSchK 2013 p. 32).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18 décembre 2014/438 consid. III a ; CPF 16 mars 2012/80 consid. II b, in BlSchK 2013 p. 32). bb) Dans le cas d’espèce, la seule mention de « Contribution d’entretien arriérée pension alimentaire » dans le commandement de payer, sous « titre et date de la créance ou cause de l’obligation », est totalement insuffisante, ce d’autant plus lorsqu’une pension était due depuis le 19 novembre 2012 seulement, par 700 fr. par mois, alors que la poursuivante réclame des pensions dues selon elle « entre le 1 er octobre 2012 et le 18 février 2016 » et un manco de 11’643 fr. 30, alors que la pension se monterait à 8'400 fr. par an. Il s’ensuit que la requête de mainlevée a été rejetée à juste titre, les précisions que la recourante soutient avoir alléguées dans dite requête – les périodes concernées seraient « entre octobre 2014 et septembre 2016 – et que l’on n’y retrouve pas, étant au demeurant insuffisantes pour conduire à un autre résultat. D’ailleurs, comme on l’a vu, la partie poursuivie n’a pas à devoir attendre la procédure de mainlevée pour être informée clairement sur la prétention réclamée par la partie poursuivante. Le recours doit ainsi être rejeté sur ce point. IV. La recourante reproche à l’autorité précédente de ne pas avoir prononcé la mainlevée de l’opposition s’agissant des frais de poursuites, arrêtés à 103 fr. 30, avec intérêt à 5% l’an dès le 4 septembre 2019. Les frais de la poursuite ne sont pas l'objet du jugement de mainlevée. Ils suivent le sort de la poursuite (CPF 3 février 2011/33 consid. III et la réf. cit.)10 décembre 2020 La mainlevée n’avait par conséquent pas à être prononcée pour ces frais. V. a) Au vu ce qui précède, le recours doit être partiellement admis et le prononcé réformé en ce sens que l’opposition formée par I.________ au commandement de payer n° 9'301’988 de l’Office des poursuites du district d’Aigle est définitivement levée à concurrence de 17'000 fr., plus intérêts à 5% l’an dès le 19 décembre 2016. Le recours est rejeté pour le surplus. Sur le montant de 30'946 fr. 60 réclamé en première instance, la recourante obtient la mainlevée définitive pour un montant de 17'000 fr., soit en-dessous de 5 5% des sommes réclamées. Il se justifie par conséquent de mettre les frais judiciaires de première instance, arrêtés à 360 fr. (art. 48 OELP [ordonnance sur les émoluments perçus en application de la LP; RS 281.35]), à charge des parties par moitié chacune (art. 106 al. 2 CPC). La recourante ayant obtenu l’assistance judiciaire pour les frais judiciaires en première instance, sa part de frais sera laissée provisoirement à la charge de l’Etat. L’intimé doit verser à la recourante des dépens réduits qui peuvent être arrêtés à 1'050 fr., débours compris (art. 6 et 19 al. 2 TDC [tarif des dépens en matière civile; BLV 270.11.6]). b) En même temps qu’elle a déposé son acte de recours, sous la plume de son avocat, la recourante a requis l’octroi de l’assistance judiciaire en demandant l’exonération totale des avances et sûretés, l’exonération des frais judiciaires et la désignation de son avocat comme conseil d’office avec effet au 18 février 2019. aa) En vertu des art. 117 et 118 al. 1 CPC, toute personne qui ne dispose pas de ressources suffisantes a droit, à moins que sa cause ne paraisse dépourvue de toute chance de succès, à l’assistance judiciaire gratuite, dont l’étendue peut comprendre l’exonération d’avances et de sûretés, l’exonération des frais judiciaires et, lorsque la défense des droits du requérant l’exige, la commission d’office d’un conseil juridique. La requête d’assistance judiciaire peut être présentée avant ou pendant la litispendance (art. 119 al. 1 CPC), mais elle n’est qu’exceptionnellement accordée avec effet rétroactif (art. 119 al. 4 CPC). Elle est donc en principe accordée dès le moment de la requête et pour l’avenir, sous réserve des démarches entreprises simultanément ou peu avant (Colombini, Code de procédure civile, Condensé de la jurisprudence fédérale et vaudoise, n. 5.1. ad art. 119 CPC et réf. cit.). Elle sera accordée exceptionnellement à titre rétroactif, si le défaut de demande d’assistance judiciaire apparaît excusable, ainsi lorsque l’urgence commandait d’agir sans déposer auparavant une telle demande ( ibid. , n. 5.2 ad art. 119 CPC et réf. cit.). Il appartient au requérant d’exposer en quoi il aurait été empêché de requérir l’assistance judiciaire dès que les conditions en étaient réalisées (CREC 3 mai 2012/165). bb) En l'espèce, il ressort des pièces produites par la recourante que celle-ci, au bénéfice d’une rente AI, n’a aucun revenu ni fortune imposables et ne dispose pas de ressources suffisantes. En outre, vu le sort du recours, on ne saurait considérer que sa cause était dépourvue de toute chance de succès, ni que l’assistance d’un conseil professionnel était inutile. La requête de la recourante est dès lors admise et le bénéfice de l’assistance judiciaire lui est accordé dans la procédure de recours, Me Astyanax Peca étant désigné conseil d’office avec effet au 14 septembre 2020, y compris pour les démarches entreprises par ce mandataire simultanément ou peu avant cette date. Il est exclu en revanche d’octroyer l’assistance judiciaire requises avec effet rétroactif au 18 février 2019, dès lors que la recourante n’apporte aucune explication justifiant ce point de la requête et qu’on ne se trouve manifestement pas en présence d’un défaut de demande d’assistance judiciaire excusable ou d’un cas d’urgence. Au contraire, la recourante a bien requis l’assistance d’un conseil d’office en première instance, mais la juge de paix la lui a refusée par décision du 18 octobre 2019 et l’intéressée n’a pas contesté cette décision. c) En deuxième instance, la recourante obtient gain de cause pour un montant de 17'000 fr., soit près de 6 0% du montant total demandé de 28'746 fr. 60. Il se justifie par conséquent de mettre les frais judiciaires de deuxième instance, arrêtés à 540 fr. (art. 61 al. 1 OELP), à sa charge par 4 0 %, soit 216 fr., qui seront laissés provisoirement à la charge de l’Etat, et à la charge de l’intimé par 6 0 %, soit 324 fr. (art. 106 al. 2 CPC). L’intimé versera en outre des dépens réduits à la recourante, arrêté à 612 fr., débours compris (art. 8 et 19 al. 2 TDC). L’indemnité du conseil d'office de la recourante doit être fixée et ce dernier sera rémunéré par le canton aux conditions de l’art. 122 al. 2 CPC. Son activité a consisté pour l'essentiel en la rédaction d'un mémoire de recours de huit pages – opération qui inclut l'analyse du prononcé attaqué. En tenant compte en outre de la rédaction de quelques correspondances de transmission et d'un entretien avec sa cliente, on peut estimer son temps de travail à cinq heures au maximum. Sur la base d’un tarif horaire de 180 fr. (art. 2 RAJ [Règlement sur l’assistance judiciaire en matière civile; BLV 211.02.3]), cela équivaut à 900 fr., auxquels s'ajoutent 18 fr. de débours (art. 3bis al. 1 RAJ) et 70 fr. 68 de TVA à 7,7 % sur 918 fr., pour une indemnité d'office totale de 988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