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226 vom 7. Oktober 2020</w:t>
      </w:r>
    </w:p>
    <w:p>
      <w:r>
        <w:t>VD Tribunal cantonal, 2020-10-07, FR</w:t>
      </w:r>
    </w:p>
    <w:p>
      <w:r>
        <w:rPr>
          <w:b/>
        </w:rPr>
        <w:t xml:space="preserve">Quelle: </w:t>
      </w:r>
      <w:r>
        <w:t>https://mcp.opencaselaw.ch/entscheid/vd_findinfo_ML___2020___226</w:t>
      </w:r>
    </w:p>
    <w:p>
      <w:r>
        <w:t>FR: VD_FINDINFO ML / 2020 / 226 du 7 octobre 2020</w:t>
      </w:r>
    </w:p>
    <w:p>
      <w:r>
        <w:t>IT: VD_FINDINFO ML / 2020 / 226 del 7 ottobre 2020</w:t>
      </w:r>
    </w:p>
    <w:p>
      <w:pPr>
        <w:pStyle w:val="Heading2"/>
      </w:pPr>
      <w:r>
        <w:t>Regeste</w:t>
      </w:r>
    </w:p>
    <w:p>
      <w:r>
        <w:t>MOTIVATION DE LA DEMANDE, DÉCISION D'IRRECEVABILITÉ | 321 al. 1 CPC (CH)</w:t>
      </w:r>
    </w:p>
    <w:p>
      <w:pPr>
        <w:pStyle w:val="Heading2"/>
      </w:pPr>
      <w:r>
        <w:t>Volltext</w:t>
      </w:r>
    </w:p>
    <w:p>
      <w:r>
        <w:t>Vaud Tribunal cantonal Cour des poursuites et faillites 07.10.2020 ML / 2020 / 226</w:t>
      </w:r>
    </w:p>
    <w:p>
      <w:r>
        <w:t>MOTIVATION DE LA DEMANDE, DÉCISION D'IRRECEVABILITÉ | 321 al. 1 CPC (CH)</w:t>
      </w:r>
    </w:p>
    <w:p>
      <w:r>
        <w:t>TRIBUNAL CANTONAL KC20.005919-201109 244 Cour des poursuites et faillites ________________________________________________ Arrêt du 7 octobre 2020 __________________ Composition :              M. Maillard , président M. Hack et Mme Byrde, juges Greffier : Mme              Umulisa Musaby ***** Art. 321 al. 1 CPC Vu le prononcé du 14 avril 2020, rendu sous forme de dispositif le 4 mai 2020 et notifié le 6 mai 2020 au poursuivant S.________ , à Lausanne, par lequel le Juge de paix du district de Lausanne a rejeté la requête de mainlevée que le poursuivant avait déposée le 16 décembre 2019, dans la poursuite ordinaire n° 9’307'844 de l’Office des poursuites du district de Lausanne dirigée contre Y.________ , également à Lausanne (I), a arrêté les frais judiciaires à 120 fr. (II), les a mis à la charge du poursuivant (III) et n’a pas alloué de dépens (IV) ; vu les motifs du prononcé adressés aux parties le 3 août 2020 et notifiés au poursuivant le 5 août 2020, vu l’acte posté le 5 août 2020, par lequel le poursuivant a recouru contre ce prononcé, concluant en substance, avec suite de frais, à sa réforme en ce sens que la mainlevée définitive de l’opposition est prononcée à concurrence de « 1) 900 fr. ; 2) 53.30 frais du commandement de payer No [...] 3) Fr. 79.25 à titre de décompte d’opérations à l’Office des poursuites du district de Lausanne (…) »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ni l’art. 56 CPC ne sont applicables en cas d’absence de motivation d’un acte de recours (TF 5A_488/2015 du 21 août 2015 consid. 3.2.1 et 3.2.2, publié in RSPC 6/2015 pp. 512 s., et les arrêts cités), qu’à défaut de motivation - dans le délai légal -, l’instance de recours n’entre pas en matière ; attendu que dans ses considérants, le juge de paix a constaté que le recourant avait produit un jugement rendu le 2 juillet 2019 par le Président du Tribunal civil de l’arrondissement de Lausanne (ci-après : jugement du 2 juillet 2019), condamnant l’intimée à lui payer la somme de 900 fr., et a rejeté la requête de mainlevée définitive pour le motif qu’il manquait l’attestation d’exequatur sur ce jugement, que le recourant ne conteste pas le raisonnement tenu par le premier juge, mais produit une copie certifiée conforme du jugement du 2 juillet 2019, munie d’une attestation d’exequatur apposée le 27 mai 2020, que dans la mesure où le recourant ne soulève en réalité aucun grief contre le prononcé entrepris, son recours doit être déclaré irrecevable, étant précisé que la copie du jugement, attesté exécutoire, produit par le recourant à l’appui de son recours n’est pas recevable, dès lors qu’il s’agit d’une pièce nouvelle, qui ne figure pas au dossier de première instance (cf. 326 al. 1 CPC), que supposé recevable, le recours devrait de toute manière être rejeté, qu’en effet, c’est à juste titre que le premier juge a rejeté la requête de mainlevée faute pour le recourant d’avoir prouvé au moyen de pièce le caractère exécutoire du titre de mainlevée invoqué, s’agissant d’un jugement du Président du Tribunal civil de l’arrondissement de Lausanne pouvant faire l’objet d’une voie de droit ordinaire (cf. art. 80 al. 1 LP ; TF 5A_714/2019 du 3 juin 2020 consid. 2.3.5, destiné à la publication, TF 5A_838/2017 du 19 mars 2018 consid. 3.1), que l’attestation d’exequatur produite en deuxième instance, étant irrecevable, ne peut remédier à cette carence, attendu que le recourant conserve la possibilité d’intenter une nouvelle poursuite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S.________ ‑ Mme Y.________ La Cour des poursuites et faillites considère que la valeur litigieuse est de 1’032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