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2020 / 20 vom 14. Februar 2020</w:t>
      </w:r>
    </w:p>
    <w:p>
      <w:r>
        <w:t>VD Tribunal cantonal, 2020-02-14, FR</w:t>
      </w:r>
    </w:p>
    <w:p>
      <w:r>
        <w:rPr>
          <w:b/>
        </w:rPr>
        <w:t xml:space="preserve">Quelle: </w:t>
      </w:r>
      <w:r>
        <w:t>https://mcp.opencaselaw.ch/entscheid/vd_findinfo_ML___2020___20</w:t>
      </w:r>
    </w:p>
    <w:p>
      <w:r>
        <w:t>FR: VD_FINDINFO ML / 2020 / 20 du 14 février 2020</w:t>
      </w:r>
    </w:p>
    <w:p>
      <w:r>
        <w:t>IT: VD_FINDINFO ML / 2020 / 20 del 14 febbraio 2020</w:t>
      </w:r>
    </w:p>
    <w:p>
      <w:pPr>
        <w:pStyle w:val="Heading2"/>
      </w:pPr>
      <w:r>
        <w:t>Regeste</w:t>
      </w:r>
    </w:p>
    <w:p>
      <w:r>
        <w:t>RECONNAISSANCE DE DETTE, SIGNATURE NUMÉRIQUE | 14 CO, 82 LP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CPC). Le montant perçu en trop sur l’avance de frais de 405 fr. sera restitué par 135 francs. Il n'y a pas lieu d'allouer des dépens, l'intimé n'ayant pas été invité à procéder.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