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195 vom 12. August 2020</w:t>
      </w:r>
    </w:p>
    <w:p>
      <w:r>
        <w:t>VD Tribunal cantonal, 2020-08-12, FR</w:t>
      </w:r>
    </w:p>
    <w:p>
      <w:r>
        <w:rPr>
          <w:b/>
        </w:rPr>
        <w:t xml:space="preserve">Quelle: </w:t>
      </w:r>
      <w:r>
        <w:t>https://mcp.opencaselaw.ch/entscheid/vd_findinfo_ML___2020___195</w:t>
      </w:r>
    </w:p>
    <w:p>
      <w:r>
        <w:t>FR: VD_FINDINFO ML / 2020 / 195 du 12 août 2020</w:t>
      </w:r>
    </w:p>
    <w:p>
      <w:r>
        <w:t>IT: VD_FINDINFO ML / 2020 / 195 del 12 agosto 2020</w:t>
      </w:r>
    </w:p>
    <w:p>
      <w:pPr>
        <w:pStyle w:val="Heading2"/>
      </w:pPr>
      <w:r>
        <w:t>Regeste</w:t>
      </w:r>
    </w:p>
    <w:p>
      <w:r>
        <w:t>MAINLEVÉE DÉFINITIVE, TITRE DE MAINLEVÉE, NULLITÉ | 80 al. 1 LP, 80 LP</w:t>
      </w:r>
    </w:p>
    <w:p>
      <w:pPr>
        <w:pStyle w:val="Heading2"/>
      </w:pPr>
      <w:r>
        <w:t>Erwägungen</w:t>
      </w:r>
    </w:p>
    <w:p>
      <w:r>
        <w:rPr>
          <w:b/>
        </w:rPr>
        <w:t>E. 6</w:t>
      </w:r>
    </w:p>
    <w:p>
      <w:r>
        <w:t>al. 1 LTN, « l’organe de contrôle cantonal examine le respect des obligations en matière d’annonce et d’autorisation conformément au droit des assurances sociales, des étrangers et de l’imposition à la source ». b) La recourante soutient que les décisions en cause sont nulles, au motif que le jugement du 18 mars 2019 du Tribunal de police de l’arrondissement de Lausanne a libéré son associé-gérant de l’infraction d’emploi d’étrangers sans autorisation ; les dispositions légales susmentionnées ne trouveraient ainsi pas application et, partant, à défaut de fondement, les émoluments et frais de contrôle ne pourraient pas être mis à sa charge. c) Selon la jurisprudence, la sanction de la nullité absolue peut être invoquée en tout temps et la nullité peut être constatée d'office (ATF 144 IV 362 consid. 1.4.3 ; ATF 138 II 501 consid. 3.1 ; ATF 122 I 97 consid. 3a/aa ; TF 6B_1410/2019 du 17 juin 2020 consid. 2.4 ; TF 5A_403/2017 du 11 septembre 2017 consid. 7.2.1). La nullité absolue ne frappe cependant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en revanche, de graves vices de procédure ainsi que l'incompétence qualifiée de l'autorité qui a rendu la décision sont des motifs de nullité (ATF 144 IV 362 consid. 1.4.3 ; ATF 132 II 21 consid. 3.1 ; ATF 130 III 430 consid. 3.3 ; ATF 129 I 361 consid. 2.1 ; TF 5A_367/2019 du 23 juin 2020 consid. 5 ; CDAP 25 avril 2017/AC.2017.0115). L'illégalité d'une décision ne constitue pas par principe un motif de nullité ; elle doit au contraire être invoquée dans le cadre des voies ordinaires de recours, à tout le moins lorsqu’elle n'apparaît pas d'emblée clairement établie et que la loi ouvre une voie de recours a posteriori aux personnes concernées par la mesure (ATF 130 II 249 cons. 2.4 ; TF 6B_30/2020 du 6 avril 2020 consid. 1.1.2). d) En l’espèce, le raisonnement de la recourante ne saurait être suivi. En effet, outre le fait qu’aucun cas de nullité n’est réalisé en l’espèce – les décisions ayant été prises par une autorité qui avait la compétence de le faire, dont la composition ne prêtait pas le flanc à la critique, à la suite d’une procédure régulière, et valablement notifiées aux parties –, le simple fait qu’un jugement ait été rendu ultérieurement par une autorité pénale ne saurait, pour des motifs de sécurité du droit, suffire à rendre nulles les premières décisions fondées sur le même état de fait, lesdites décisions étant revêtues de la force de chose jugée. Certes, une éventuelle reconsidération des décisions litigieuses pourrait entrer en ligne de compte. La recourante a d’ailleurs déposé une demande en ce sens. L’intimé l’a toutefois rejetée et l’on ignore si la recourante en est restée là. Quoi qu’il en soit, tant qu’une procédure de reconsidération n’aura pas aboutie, les décisions en cause, définitives et exécutoires, continuent à déployer pleinement leurs effets et, en particulier, valent bien titres de mainlevée définitive d’opposition. IV. Vu ce qui précède, le recours, manifestement infondé, doit être rejeté et le prononcé confirmé, selon le mode procédural de l’art. 322 al. 1 CPC. Les frais judiciaires de deuxième instance, arrêtés à 225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