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92 vom 20. Mai 2019</w:t>
      </w:r>
    </w:p>
    <w:p>
      <w:r>
        <w:t>VD Tribunal cantonal, 2019-05-20, FR</w:t>
      </w:r>
    </w:p>
    <w:p>
      <w:r>
        <w:rPr>
          <w:b/>
        </w:rPr>
        <w:t xml:space="preserve">Quelle: </w:t>
      </w:r>
      <w:r>
        <w:t>https://mcp.opencaselaw.ch/entscheid/vd_findinfo_ML___2019___92</w:t>
      </w:r>
    </w:p>
    <w:p>
      <w:r>
        <w:t>FR: VD_FINDINFO ML / 2019 / 92 du 20 mai 2019</w:t>
      </w:r>
    </w:p>
    <w:p>
      <w:r>
        <w:t>IT: VD_FINDINFO ML / 2019 / 92 del 20 maggio 2019</w:t>
      </w:r>
    </w:p>
    <w:p>
      <w:pPr>
        <w:pStyle w:val="Heading2"/>
      </w:pPr>
      <w:r>
        <w:t>Regeste</w:t>
      </w:r>
    </w:p>
    <w:p>
      <w:r>
        <w:t>DROIT D'ÊTRE ENTENDU, NOTIFICATION IRRÉGULIÈRE, FICTION DE LA NOTIFICATION, INTÉRÊT MORATOIRE, DÉBUT, PERCEPTION DES PRIMES | 102 al. 1 CO, 104 CO, 29 al. 2 Cst., 44 LAIEN, 84 al. 2 LP, 136 let. c CPC (CH), 138 CPC (CH), 253 CPC (CH)</w:t>
      </w:r>
    </w:p>
    <w:p>
      <w:pPr>
        <w:pStyle w:val="Heading2"/>
      </w:pPr>
      <w:r>
        <w:t>Erwägungen</w:t>
      </w:r>
    </w:p>
    <w:p>
      <w:r>
        <w:rPr>
          <w:b/>
        </w:rPr>
        <w:t>E. 28</w:t>
      </w:r>
    </w:p>
    <w:p>
      <w:r>
        <w:t>février 2018, comme indiqué dans le commandement de payer, au lieu du 26 juin 2018. On relève toutefois que ce recul de cent dix-huit jours du point de départ des intérêts moratoires équivaut à une somme d’intérêts de 63 centimes, soit un montant insignifiant. Quoi qu’il en soit, en l’occurrence, le prononcé doit être annulé d’office et la cause renvoyée au premier juge, pour les motifs exposés ci-après. III.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Commentaire romand, Code de procédure civile, nn. 1 à 5 ad art. 53 CPC ; Bohnet, CR-CPC, n. 2 ad art. 253 CPC ; Klinger, in Sutter-Somm/Hasenböhler/Leuenberger, Kommentar zur Schweizerische Zivilprozess- ordnung, 3 e éd., n. 1 ad art. 253 ZPO [CPC]). Le droit d’être entendu est de nature formelle et sa violation justifie en principe l’annulation de la décision entreprise, sans qu’il soit nécessaire d’examiner si son respect aurait conduit à une décision différente (Haldy, op. cit. ,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 JdT 2017 III 174 ; CPF 30 mars 2015/112 ; CPF 21 novembre 2014/ 391 ; CPF 10 avril 2014/145 et les nombreux arrêts cités). b) En l’espèce, le pli recommandé contenant la requête de mainlevée et la lettre fixant au poursuivi un délai pour se déterminer est revenu au greffe de la juge de paix avec la mention "non réclamé". Il ne ressort pas du dossier, et en particulier du procès-verbal des opérations, que ce pli aurait été à nouveau notifié à son destinataire, par exemple par huissier. Le seul renvoi en courrier A est insuffisant. La fiction de la notification à l'échéance du délai de garde postal ne s'appliquant pas, le poursuivi n'a pas eu la possibilité de prendre connaissance de la requête ni de se déterminer à son sujet, ce qui constitue une violation de son droit d'être entendu. Cette violation doit être constatée d’office et le prononcé de mainlevée d’opposition annulé, d’autant que le recours sur le point de départ de l’intérêt moratoire dû sur le capital paraît bien fondé. III. En conclusion, le prononcé doit être annulé d’office et la cause renvoyée à la Juge de paix du district de Lausanne pour qu'elle fasse notifier la requête de mainlevée d’opposition au poursuivi et lui impartisse un délai pour se déterminer, avant de rendre une nouvelle décision. Les frais judiciaires de deuxième instance, arrêtés à 135 fr., peuvent être laissés à la charge de l’Etat (art. 107 al. 2 CPC). Le recourant a droit au remboursement de son avance de frais du même montant par la caisse du Tribunal cantonal. Il n’y a en revanche pas lieu d’allouer des dépens de deuxième instance au recourant, non assisté,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