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249 vom 31. Dezember 2019</w:t>
      </w:r>
    </w:p>
    <w:p>
      <w:r>
        <w:t>VD Tribunal cantonal, 2019-12-31, FR</w:t>
      </w:r>
    </w:p>
    <w:p>
      <w:r>
        <w:rPr>
          <w:b/>
        </w:rPr>
        <w:t xml:space="preserve">Quelle: </w:t>
      </w:r>
      <w:r>
        <w:t>https://mcp.opencaselaw.ch/entscheid/vd_findinfo_ML___2019___249</w:t>
      </w:r>
    </w:p>
    <w:p>
      <w:r>
        <w:t>FR: VD_FINDINFO ML / 2019 / 249 du 31 décembre 2019</w:t>
      </w:r>
    </w:p>
    <w:p>
      <w:r>
        <w:t>IT: VD_FINDINFO ML / 2019 / 249 del 31 dicembre 2019</w:t>
      </w:r>
    </w:p>
    <w:p>
      <w:pPr>
        <w:pStyle w:val="Heading2"/>
      </w:pPr>
      <w:r>
        <w:t>Regeste</w:t>
      </w:r>
    </w:p>
    <w:p>
      <w:r>
        <w:t>MAINLEVÉE PROVISOIRE, TITRE DE MAINLEVÉE, NOUVEAU MOYEN DE FAIT, CHANGEMENT DE DOMICILE, PRÊT DE CONSOMMATION, OBSERVATION DU DÉLAI, CONSTATATION DU DROIT ÉTRANGER, RÉQUISITION DE POURSUITE, INTÉRÊT{FRUIT CIVIL}, ULTRA PETITA, LIMITATION AUX CONCLUSIONS DES PARTIES, MONNAIE ÉTRANGÈRE, CONVERSION{CALCUL}, OPÉRATION DE CHANGE | 16 LDIP, 67 al. 1 ch. 3 LP, 67 al. 1 ch. 4 LP, 82 al. 1 LP, 82 al. 2 LP, 82 LP, 143 al. 1 CPC (CH), 326 al. 1 CPC (CH), 58 al. 1 CPC (CH)</w:t>
      </w:r>
    </w:p>
    <w:p>
      <w:pPr>
        <w:pStyle w:val="Heading2"/>
      </w:pPr>
      <w:r>
        <w:t>Erwägungen</w:t>
      </w:r>
    </w:p>
    <w:p>
      <w:r>
        <w:rPr>
          <w:b/>
        </w:rPr>
        <w:t>E. 21</w:t>
      </w:r>
    </w:p>
    <w:p>
      <w:r>
        <w:t>mai 2019. Le départ de l’intimée en France le 1 er juillet 2019 est postérieur au prononcé, partant il constitue un vrai novum en principe irrecevable en procédure de recours, vu les considérations qui précèdent. On ne saurait considérer que ce départ rend sans objet la procédure de mainlevée, dès lors qu’il ne modifie en rien la compétence à raison du lieu du premier juge et de la cour de céans, l’intimée étant domiciliée à [...] lors du dépôt de la requête de mainlevée et ce for étant perpétué durant la procédure (art. 68 al. 1 let. b CPC ; Gilliéron, Commentaire de la loi fédérale sur la poursuite pour dette et la faillite, n. 22 ad art. 53 LP et référence). Certes, le changement de domicile à l’étranger est susceptible d’empêcher toute continuation de la poursuite, étant intervenu avant l’avis de saisie (art. 53 LP [loi fédérale sur la poursuite pour dettes et la faillite ; RS 281.1] a contrario ; Gilliéron, op. cit., n. 16 ad art. 53 LP), il n’est toutefois en l’état pas exclu que l’une des hypothèses réservées notamment par les art. 50 et 52 LP puisse être réalisée (cf. Gilliéron, loc. cit.), hypothèses qui permettraient la continuation de la poursuite. Il y a donc lieu de tenir compte de l’avis de changement de domicile de l’intimée en France pour ce qui est de l’adresse à laquelle les actes de procédure sont envoyés, celle-ci ayant d’ailleurs été invitée par courrier du 30 octobre 2019 à élire en Suisse un domicile de notification. Il n’y a en revanche pas lieu de tenir compte de ce départ dans l’examen du bien-fondé du recours, vu les considérations qui précèdent. II.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cc)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 dd) Le contrat de prêt d'une somme déterminée constitue une reconnaissance de dette au sens de l’art. 82 al. 1 LP pour le remboursement du prêt, pour autant que le débiteur ne conteste pas avoir reçu la somme prêtée – le créancier devant dans cette hypothèse prouver le versement — et que le remboursement soit exigible (ATF 145 III 20 consid. 4.3.1 et 4.3.2 ; ATF 140 III 456 consid. 2.2 ; ATF 136 III 627 consid. 2). b)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 2.2 ; TF 5A_884/2014 précité). Le juge n'a pas à être persuadé de l'existence des faits allégués ; il doit, en se fondant sur des éléments objectifs, avoir l'impression qu'ils se sont produits, sans exclure pour autant la possibilité qu'ils se soient déroulés autrement (ATF 132 II 140 consid. 4.1.2 ; TF 5A_884/2014 précité). c)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in Staehelin/Bauer/Staehelin Basler Kommentar SchKG I, 2 e éd., n. 174 ad art. 82 LP ; TC Bâle campagne, Basler Juristische Mitteilungen [BJM] 1989, pp. 258 ss ; CPF, 15 juillet 2013/297 ; CPF, 6 février 2015/27 ; CPF 4 juillet 2017/126 ; CPF, 13 janvier 2016/21).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in Hunkeler (éd.), SchKG, Kurzkommentar, 2 e éd. n. 42 ad art. 82 LP et référence ; CPF 4 juillet 2017/126 ; CPF 6 février 2015/27 ; CPF 13 janvier 2016/21). d)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paru aux ATF 140 III 456 consid. 2.4,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Il a précisé que cela ne dispensait pas le poursuivant d’établir ce droit, dans la mesure où l’on pouvait raisonnablement l’exiger de lui, lorsqu’il devait établir la réalisation d’une condition matérielle telle l’exigibilité de la créance (Ibidem). Il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Dans un arrêt ultérieur le Tribunal fédéral a précisé qu’il incombait au poursuivi de rendre vraisemblable le contenu du droit étranger applicable aux moyens libératoires qu’il invoque, le juge devant procéder à un examen sommaire du bien-fondé juridique de ceux-ci (ATF 145 III 213). e)aa) En l’espèce les parties ont signé devant notaire le 23 novembre 2016 un contrat de prêt destiné à l’achat d’une maison par lequel la poursuivante a prêté à la poursuivie un montant de 168'040 €, avec intérêt à 4,5 % l’an, frais de dossier de 0,042 % l’an, cotisations d’assurance décès obligatoire des emprunteurs de 0,347 % l’an et cotisations d’assurances de l’emprunteur optionnelles, coût de la convention, des garanties et d’estimation de 0,064 % l’an, soit un taux effectif global (TEG) de 4'953 % l’an et de 0.412 % le mois. Le prêt était selon le ch. 4.4 du contrat remboursable en trois cents mensualités de 946,84 €, plus 59,62 € de cotisations globales d’assurances, dès le 6 mars 2007 (ch. 4.2 du contrat). La recourante n’a pas produit de preuve du versement de 168'040 € à la date prévue par le contrat du 15 novembre 2006. Toutefois, ce versement n’est pas contesté par l’intimée et il découle du fait que celle-ci est devenue, selon extrait du bureau foncier, propriétaire de l’immeuble mentionné par le contrat de prêt, cet immeuble étant grevé d’une hypothèque portant sur le montant du prêt. Ce contrat constitue donc un titre à la mainlevée provisoire au sens de l’art. 82 al. 1 LP et de la jurisprudence susmentionnée. bb) Il ressort du relevé des échéances en retard du 29 janvier 2019 produit par la recourante que celles courant du mois de juin au mois de novembre 2009 ont été prorogées et que celles des mois de janvier et de février 2010 sont demeurées impayées, laissant un solde dû de 8'566,37 €. Par courrier recommandé du 5 mars 2010 reçu par l’intimée le 9 mars 2010, Fédération B.________ a constaté que celle-ci n’avait par régularisé sa situation, malgré les entretiens et courriers qui lui avaient été adressés, en particulier un courrier recommandé du 10 février 2010 que l’intimée n’avait pas retiré, a prononcé la déchéance du prêt en cause, celui-ci devenant intégralement et immédiatement exigible, et l’a mise en demeure de lui verser, dans un délai échéant le 15 mars 2010 faute de quoi elle procéderait à la réalisation de l’hypothèque, notamment un solde de capital de 169'649,65 €, des échéances de capital en retard de 2'741,84 €, d’intérêt en retard de 5'143,76 € et d’assurance vie en retard de 508,84 €, des intérêts courus sur capital hors échéances en retard, sur échéances en retard des années précédentes et sur échéances en retard de l’année en cours arrêtés au 5 mars 2010 de 808,12 €, des primes d’assurance-vie courues sur capital hors échéances en retard de 65,60 € et une indemnité forfaitaire de 7 % sur les sommes exigibles selon art. 12 du contrat de 12'524,25 €, les intérêts de 4,5 % l’an et les cotisations d’assurance-vie de 0,5 % l’an à compter du 6 mars 2010 étant dues en sus. L’article 12 du contrat de prêt prévoit qu’en cas de défaillance de l’emprunteur, le prêteur peut, conformément à l’art. L.312-22 du Code de la consommation français, en particulier exiger le remboursement immédiat du solde du prêt restant dû, l’emprunteur étant redevable d’une indemnité égale à 7 % des sommes restant dues au titre du capital restant dû, ainsi que des intérêt échus et non réglés. Il était également prévu que les intérêts annuels produiraient eux-mêmes des intérêts aux taux contractuel conformément à l’art. 1154 du Code civil français. Cette disposition du contrat rendait donc, en cas de retard dans le paiement des mensualités, exigibles sur déclaration de la recourante, l’entier du solde du prêt en cause, l’indemnité forfaitaire et les intérêts sur les intérêts annuels échus. L’intimée n’a pas contesté en première instance avoir été en retard dans le paiement de ses mensualités, mais a soutenu que la dénonciation du prêt du 5 mars 2010 était nulle faute de mise en demeure préalable. Elle n’a toutefois invoqué, ni établi aucune disposition du droit français prévoyant cette incombance et cette sanction, de sorte que son moyen doit être rejeté. Au demeurant, le courrier de dénonciation du prêt du 5 mars 2010 constate que l’intimée n’a pas régularisé sa situation malgré des entretiens et des courriers antérieurs, dont un recommandé qu’elle n’avait pas retiré. Il y a donc lieu d’admettre que la recourante a envoyé à l’intimée un courrier de sommation. cc) L’intimée a signé le 24 octobre 2006 une demande d’adhésion à un contrat d’assurance collective de la poursuivante dont le ch. 15.2 prévoit qu’en cas d’exigibilité totale du prêt une cotisation de 0,5 % l’an est calculée sur l’intégralité des sommes dues et qu’elle se substitue à la cotisation de base pour ne couvrir que le seul risque décès, les autres garanties étant suspendues de plein droit. Le prêt en cause ayant été dénoncé par courrier du 5 mars 2010, cette demande d’adhésion constitue une reconnaissance de dette au sens de l’art. 82 LP pour la perception d’une cotisation d’assurance de 0,5 %. dd) La recourante est ainsi au bénéfice de reconnaissances de dettes valant titre à la mainlevée provisoire au sens de l’art. 82 LP et l’argument invoqué par l’intimée en première instance selon lequel la recourante ne disposerait pas d’un titre exécutoire méconnait le système suisse de l’exécution forcée portant sur des sommes d’argent de la LP. De même, l’argument de l’intimée invoqué en première instance selon lequel la requête de mainlevée aurait dû être déclarée irrecevable, faute pour la recourante de l’avoir déposée dans le délai d’un mois dès la notification du commandement de payer, se heurte à la règle de l’art. 88 LP qui prévoit que le délai de péremption du commandement de payer est d’une année dès la notification de celui-ci. Ayant été déposée dans ce délai, la requête de mainlevée était recevable. III. a)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op. cit.,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SchKG I précité, 2 e éd., n. 43 ad art. 67 SchKG [LP] ; Ruedin, in Dallèves/Foêx/Jeandin (éd.), Commentaire romand, Poursuite et faillite,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 En l’espèce, par le commandement de payer en cause, la recourante a notamment réclamé le paiement de la somme de de 192'609 fr. 10 avec intérêt à 5 % l’an dès le 28 mars 2018 en indiquant comme titre de la créance ou cause de l’obligation : « 1. Décompte de créance du 27.03.2018 du Banque B.________ La somme de CHF 192'609.10 est la contrevaleur de € 168'012.12 Cour de l’euro le 20.09.2018 : 1 € = CHF 1.1464 ». Il y a lieu d’admettre que l’intimée devait inférer de la mention dans le commandement de payer de la recourante comme créancière, d’un décompte de créance du 27 mars 2018 et du montant réclamé, que la créance réclamée en poursuite était celle découlant du contrat de prêt du 23 novembre 2006. Elle ne prétend d’ailleurs pas ne pas avoir reçu le décompte du 27 mars 2018, de sorte qu’il convient de considérer qu’elle a été en mesure d’examiner le bien-fondé de la créance en poursuite sans devoir former opposition. c) Dans son courrier du 5 mars 2010 dénonçant le contrat de prêt, la recourante a réclamé à l’intimée notamment le remboursement du capital du prêt restant dû, par 169'649,65 €, des échéances en capital en retard de 2'741,84 € – soit un montant en capital de 172'391,49 € –, des intérêts en retard, par 5'143,76 €, des intérêt courus arrêtés, par 808,12 € – soit une créance totale d’intérêt de 5'951,88 € – des primes d’assurance-vie en retard, par 508,84 € et courues arrêtées au 5 mars, par 65,60 € – soit une créance totale de prime d’assurance de 574,44 € – et l’indemnité forfaitaire de 7 % selon l’article 12 du contrat de 12'524,25 €. La créance totale découlant du contrat de prêt du 23 novembre 2006 et du contrat d’assurance des 14 et 18 octobre 2006 atteignait donc 191'442,06 €, montant auquel s’ajoutait les intérêts de retard de 4,5 % l’an et la prime d’assurance-décès de 0,5 % l’an. Il ressort du décompte de créance / détail de calcul du 7 janvier 2019 que le solde dû par l’intimée au 15 mars 2018 s’élevait à 167'769,36 €, soit 147'380,32 € en capital, 12'524,24 € en indemnité selon l’art. 12 du contrat, et 7'864,79 € en intérêts. Ce solde prend en compte les intérêts en cours, le produit de la vente de l’immeuble, par 87'000 €, imputé sur la créance en capital à hauteur de 25'011,17 €, sur la créance en intérêts à hauteur de 56'535,79 € et sur la créance en primes d’assurance à hauteur de 5'453,04 €, et les autres remboursements pour un total de 4'557,68 €, entièrement imputés sur les créances en intérêts et en primes d’assurance. Compte tenu de l’intérêt au taux non contesté de 4,5 % l’an et de la prime d’assurance de 0,5 % ayant couru du 15 au 27 mars 2018, par 242,76 € (147'380,32 € x 5 % ; 365 x 12), le solde dû au 27 mars 2018 s’élevait à 168'012,12 €, (167'769,36 + 242,76) soit le montant réclamé en poursuite. Il y a donc bien identité entre la créance découlant du contrat de prêt et celle en poursuite. c) L’intimée ne prétend pas avoir remboursé davantage, ni ne conteste le mode d’imputation choisi par la recourante. Elle a soutenu en première instance que la recourante aurait mis à sa charge des intérêts durant la période d’une année pour laquelle un tribunal d’instance français lui aurait accordé une suspension de son engagement de payer. Elle n’a toutefois par produit cette décision judiciaire, de sorte que ce moyen doit être rejeté faute d’avoir été rendu vraisemblable. IV. a)aa) La procédure de poursuite implique un certain formalisme. Il résulte en particulier de l'art. 67 al. 1 ch. 3 LP que dans sa réquisition de poursuite le créancier doit indiquer de façon précise le montant de la créance et, si celle-ci porte intérêts, le taux et le jour duquel ils courent. Le poursuivant ne peut pas réclamer en bloc le capital et les intérêts (ATF 70 II 85 consid. 3, JdT 1944 I 523 ; ATF 45 III 127, JdT 1920 II 6 ; Ruedin, op. cit., n. 33 ad art. 67 LP Gilliéron, op. cit., n. 56 ad art. 67 LP). Il ne peut pas non plus à son choix modifier la répartition des uns et des autres entre le commandement de payer et la requête de mainlevée (CPF 24 octobre 2012/347 ; CPF 19 octobre 2006/486). bb) Dans sa requête du 25 mars 2019, la recourante a requis du juge de paix la mainlevée provisoire de l’opposition à concurrence de 194'622 fr. 24 (contre-valeur de 169'768,18 €) avec intérêt à 4,5 % l’an dès le 8 janvier 2019 sur le capital de 168'956 fr. 79 (contre-valeur de 147'380,32 €). Le montant de 169'768,18 € correspond, selon le décompte de créance / détail de calcul du 7 janvier 2019, au solde dû le 7 janvier 2019 par l’intimée en vertu du contrat du 23 novembre 2006, compte tenu des intérêts courus et des remboursements de 400 € les 19 avril et 30 août 2018, 352,60 € le 23 mai 2018 et de 500 € les 19 mai, 18 septembre, 15 octobre, 15 novembre et 17 décembre 2018, tous imputés sur les créances en intérêts et en primes d’assurance. Il est toutefois supérieur au montant de 192'609 fr. 10 (contre-valeur de 168'012,12 €) réclamé dans le commandement de payer et constitue une modification de la répartition du capital et des intérêts dans le commandement de payer prohibée par la jurisprudence de la cour de céans. La mainlevée doit donc être accordée à concurrence de la contre-valeur en francs suisses du montant en capital figurant sur le commandement de payer, soit 168'012,12 €. Conformément aux conclusions de la requête du 25 mars 2019, qui lient la cour de céans (art. 58 al. 1 CPC), un intérêt à 4,5 % sera alloué sur la contre-valeur en francs suisses de la somme de 147'380,32 € dès le 8 janvier 2019. L’intérêt moratoire à 5 % sur la contre-valeur en francs suisses de 168'012,12 € pour la période courant dès le 28 mars 2018 jusqu’au 7 janvier 2019 réclamé en poursuite ne l’est plus en mainlevée. Selon le décompte de créance / détail de calcul du 7 janvier 2019, les remboursements postérieurs au 28 mars 2018 ont été imputés sur les créances en intérêt et en primes d’assurance. Il n’y a dès lors pas lieu de les imputer une nouvelle fois sur le solde de la créance au 27 mars 2018. b)aa) A teneur de l’art. 67 al. 1 ch. 3 LP,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ATF 135 III 88 consid. 4.1 ; ATF 51 III 180 consid. 4). Le taux de conversion des monnaies est un fait notoire, qui ne doit être ni prouvé ni allégué; il peut en effet être contrôlé par Internet, notamment via le site http://www.fxtop.com, qui donne les taux officiels diffusés par la Banque centrale européenne (ATF 137 III 623 consid. 3; ATF 135 III 88 consid. 4.1). b) En l’espèce, la recourante a produit la réquisition de poursuite du 21 septembre 2018, ainsi qu’un extrait du site Internet de la Banque Cantonale Neuchâteloise, dont il ressort qu’un euro se négociait à 1,1124 fr. à l’achat et à 1,1464 fr. à la vente. Selon le site http://www.fxtop.com , le 21 septembre 2018, 1 € valait 1,1228 francs suisses. Dès lors que ce dernier site est considéré comme une référence par le Tribunal fédéral, il y a lieu de prendre en compte le taux de change qu’il indique comme fait notoire. Aussi, la mainlevée provisoire de l’opposition doit-elle être accordée à concurrence de 188'644 fr. (168'012,12 € x. 1,1228) avec intérêt à 4,5 % l’an dès le 8 janvier 2019 sur 165'478 fr. 62 (147'380,32 € x 1,1228). V. En conclusion, le recours doit être admis partiellement et le prononcé attaqué réformé en ce sens que l’opposition est levée à concurrence de 188'644 fr., avec intérêt à 4,5 % l’an dès le 8 janvier 2019 sur 165'478 fr. 62. La poursuivante obtenant gain de cause sur quasiment l’entier de ses conclusions de première instance, les frais judiciaires de première instance, arrêtés à 660 fr., doivent être mis à la charge de la poursuivie, celle-ci devant restituer à la poursuivante son avance de frais, par 660 fr. et lui verser des dépens de première instance par 5'000 fr. (art. 106 al. 1 et 111 al. 2 CPC ; art. 3 al. 2 et 6 TDC [tarif du 23 novembre 2010 des dépens en matière civile ; BLV 270.11.6]). Pour les mêmes raisons, les frais judiciaires de deuxième instance, arrêtés à 900 fr., doivent être mis à la charge de l’intimée, celle-ci devant restituer à la recourante son avance de frais, par 900 fr., et lui verser des dépens de deuxième instance, fixés à 2'000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