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237 vom 30. Dezember 2019</w:t>
      </w:r>
    </w:p>
    <w:p>
      <w:r>
        <w:t>VD Tribunal cantonal, 2019-12-30, FR</w:t>
      </w:r>
    </w:p>
    <w:p>
      <w:r>
        <w:rPr>
          <w:b/>
        </w:rPr>
        <w:t xml:space="preserve">Quelle: </w:t>
      </w:r>
      <w:r>
        <w:t>https://mcp.opencaselaw.ch/entscheid/vd_findinfo_ML___2019___237</w:t>
      </w:r>
    </w:p>
    <w:p>
      <w:r>
        <w:t>FR: VD_FINDINFO ML / 2019 / 237 du 30 décembre 2019</w:t>
      </w:r>
    </w:p>
    <w:p>
      <w:r>
        <w:t>IT: VD_FINDINFO ML / 2019 / 237 del 30 dicembre 2019</w:t>
      </w:r>
    </w:p>
    <w:p>
      <w:pPr>
        <w:pStyle w:val="Heading2"/>
      </w:pPr>
      <w:r>
        <w:t>Regeste</w:t>
      </w:r>
    </w:p>
    <w:p>
      <w:r>
        <w:t>DÉPENS, RÉPARTITION DES FRAIS, RETRAIT{VOIE DE DROIT}, TARIF{EN GÉNÉRAL} | 105 al. 2 CPC (CH), 106 al. 1 CPC (CH), 111 al. 2 CPC (CH), 95 al. 1 CPC (CH), 95 al. 3 let. b CPC (CH), 96 CPC (CH), 3 TDC, 6 TDC</w:t>
      </w:r>
    </w:p>
    <w:p>
      <w:pPr>
        <w:pStyle w:val="Heading2"/>
      </w:pPr>
      <w:r>
        <w:t>Erwägungen</w:t>
      </w:r>
    </w:p>
    <w:p>
      <w:r>
        <w:rPr>
          <w:b/>
        </w:rPr>
        <w:t>E. 3</w:t>
      </w:r>
    </w:p>
    <w:p>
      <w:r>
        <w:t>let. b CPC et 1 al. 1 let. b TDC). L’art. 95 al. 3 let. b CPC ne limite pas la prise en considération des frais de représentant professionnel au cas où ils étaient nécessaires ; en conséquence, ni le juge ni le droit cantonal ne sauraient écarter la couverture de frais d'avocat réellement consentis par une partie et conformes aux règles ordinaires en la matière au motif que cette partie aurait pu plaider seule ou recourir à un autre type de représentant professionnel, moins coûteux (Tappy, in Bohnet/Haldy/Jeandin/Schweizer/Tappy (éd.), Commentaire romand, Code de procédure civile, 2 e éd., 2019, n. 29 ad art. 95 CPC et la référence citée). C’est donc en principe l’entier des frais liés à la consultation d’un avocat ou d’un autre représentant professionnel qui est visé par la notion de défraiement de l’art. 95 al. 3 let. b CPC (Tappy, op. cit. , n. 30 ad art. 95 CPC). Ce principe a d’ailleurs été repris à l’art. 3 al. 1 TDC, qui dispose qu’en règle générale, la partie qui succombe est tenue de rembourser à la partie qui a obtenu gain de cause tous les frais nécessaires causés par le litige.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(art. 3 al. 2, 1 re phrase, TDC). En cas de disproportion « manifeste » notamment entre le taux applicable selon le tarif et le travail effectif de l’avocat ou de l’agent d’affaires breveté, la juridiction peut fixer des dépens inférieurs au taux minimum (art. 20 al. 2 TDC), l’emploi de l’adjectif « manifeste » impliquant toutefois que l’on doit en principe s’en tenir aux barèmes fixés et ne s’en écarter que si la disproportion est évidente (CPF 13 octobre 2016/319 et les arrêts cités). b) En l’espèce, la valeur litigieuse devant le premier juge s’élevait à 143'274 fr. 65. Selon l'art. 6 TDC relatif au défraiement de l’avocat en procédure sommaire de première instance, pour une cause dont la valeur litigieuse se situe entre 100'001 et 250'000 fr., les dépens sont fixés dans une fourchette de 3’000 à 8’000 francs. Le montant total des dépens alloués de 3’150 fr. se situe dans cette fourchette. Bien que le premier juge n’ait pas détaillé le calcul du montant alloué, on comprend qu’il équivaut au défraiement de dix heures de travail d’un avocat au tarif horaire de 300 fr., plus 5% de débours (art. 19 TDC). Ce temps de travail ne paraît en tout cas pas excessif pour l’étude du dossier et la rédaction d’un mémoire de réponse détaillé de dix-huit pages, accompagné de treize pièces sous bordereau, ainsi que des courriels et courriers échangés avec la cliente et le juge de paix, dont l’écriture du 23 septembre 2019. Il est d’ailleurs bien inférieur au temps de travail de seize heures et dix minutes indiqué dans la liste d’opérations produite par le conseil de l’intimée. On relève en outre, nonobstant l’absence de recours de l’intimée sur ce point, que le tarif horaire moyen usuel de l’avocat devrait en général être fixé à 300 francs lorsque la valeur litigieuse est inférieure à 30'000 fr., et à 350 fr. lorsque celle-ci est égale ou supérieure à cette somme, et que la TVA devrait être ajoutée en sus du montant fixé (cf. Rapport explicatif sur le nouveau tarif des dépens en matière civile, p. 6 ad art. 4-9). Le montant des dépens alloués à l’intimée aurait ainsi pu être de 3'958 fr., débours et TVA compris, dont la part incombant au recourant, soit la moitié, aurait été de 1’979 fr. au lieu de 1’575 francs. c) Le recourant allègue que, lors d’un passage au greffe du juge de paix, on lui aurait indiqué que le montant maximum des frais perçus serait de 660 fr. en cas d’annulation de l’audience. Une telle information, si elle lui a été donnée, concernait les frais judiciaires et non pas l’entier des frais, y compris les dépens (cf. art. 95 CPC). Elle était fondée sur le tarif des émoluments, fixés à 660 fr. pour une valeur litigieuse comprise entre 100'001 fr. et 250'000 francs. En application de l’art. 11 TFJC, toutefois, le juge de paix n’a pas perçu de frais judiciaires, de sorte que le recourant n’a pas eu à payer un émolument d’un montant supérieur à celui qui lui aurait été indiqué. III. Vu ce qui précède, le recours, manifestement infondé, doit être rejeté selon le mode procédural de l’art. 322 al. 1 CPC, et la décision du juge de paix confirmée. Les frais de deuxième instance, arrêtés à 270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