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230 vom 16. Dezember 2019</w:t>
      </w:r>
    </w:p>
    <w:p>
      <w:r>
        <w:t>VD Tribunal cantonal, 2019-12-16, FR</w:t>
      </w:r>
    </w:p>
    <w:p>
      <w:r>
        <w:rPr>
          <w:b/>
        </w:rPr>
        <w:t xml:space="preserve">Quelle: </w:t>
      </w:r>
      <w:r>
        <w:t>https://mcp.opencaselaw.ch/entscheid/vd_findinfo_ML___2019___230</w:t>
      </w:r>
    </w:p>
    <w:p>
      <w:r>
        <w:t>FR: VD_FINDINFO ML / 2019 / 230 du 16 décembre 2019</w:t>
      </w:r>
    </w:p>
    <w:p>
      <w:r>
        <w:t>IT: VD_FINDINFO ML / 2019 / 230 del 16 dicembre 2019</w:t>
      </w:r>
    </w:p>
    <w:p>
      <w:pPr>
        <w:pStyle w:val="Heading2"/>
      </w:pPr>
      <w:r>
        <w:t>Regeste</w:t>
      </w:r>
    </w:p>
    <w:p>
      <w:r>
        <w:t>MAINLEVÉE DÉFINITIVE, COMPENSATION DE CRÉANCES, RECTIFICATION DE LA DÉCISION, UNITÉ DU JUGEMENT DE DIVORCE | 81 al. 1 LP, 283 CPC (CH), 334 al. 1 CPC (CH), 334 al. 2 CPC (CH)</w:t>
      </w:r>
    </w:p>
    <w:p>
      <w:pPr>
        <w:pStyle w:val="Heading2"/>
      </w:pPr>
      <w:r>
        <w:t>Erwägungen</w:t>
      </w:r>
    </w:p>
    <w:p>
      <w:r>
        <w:rPr>
          <w:b/>
        </w:rPr>
        <w:t>E. 12</w:t>
      </w:r>
    </w:p>
    <w:p>
      <w:r>
        <w:t>février 2015 consid. 3, rés. in SJ 2015 I 467 ; ATF 138 III 583 consid. 6.1.2 ; ATF 135 III 315 consid. 2.5 ; TF 5D_43/2019 du 24 mai 2019 consid. 5.2.1.). Par extinction de la dette, la loi ne vise pas seulement le paiement, mais aussi toute autre cause de droit civil, en particulier la compensation (ATF 124 III 501 consid. 3b et les références). Un tel moyen ne peut toutefois être retenu que si la créance compensante résulte elle-même d'un titre exécutoire ou qu'elle est admise sans réserve par le poursuivant (ATF 136 III 624 consid. 4.2.1 et les références ; ATF 115 III 97 consid. 4 et réf. cit., JdT 1991 II 47). Par titre exécutoire prouvant l'extinction par compensation, on entend celui qui justifierait lui-même la mainlevée définitive ou à tout le moins la mainlevée provisoire (ATF 115 III 97 consid. 4 précité, JdT 1991 II 47 ; TF 5P.459/2002 du 29 janvier 2003 consid. 2.2.1). Contrairement à ce qui vaut pour la mainlevée provisoire (art. 82 al. 2 LP ; cf. ATF 120 Ia 82 consid. 6c), le poursuivi ne peut se contenter de rendre vraisemblable sa libération, mais doit en apporter la preuve stricte (ATF 136 III 624 consid. 4.2.1 précité). Il appartient au poursuivi d'établir non seulement par titre la cause de l'extinction, mais aussi le montant exact à concurrence duquel la dette est éteinte. Il n'incombe ni au juge de la mainlevée, ni au créancier d'établir cette somme (ATF 124 III 501 consid. 3b précité). Selon une partie de la doctrine, apparemment approuvée par le Tribunal fédéral (cf. TF 5D_43/2019 du 24 mai 2019 consid. 5.2.1), la compensation peut être invoquée dans la procédure de mainlevée même si la créance compensante était exigible avant la date du jugement à exécuter (Abbet, op. cit. , n. 14 ad art. 81 LP ; Marchand, La compensation dans la procédure de poursuite, in JdT 2012 II p. 61 ss), étant rappelé que la compensation est matériellement réalisée par l'acte formateur qu'est la déclaration de compensation (TF 5D_43/2019 du 24 mai 2019 consid. 5.2.1 ; TF 4A_601/2013 du 31 mars 2014 consid. 3.3 et les références). Lorsque l’existence et le montant de la créance compensante résultent d’un jugement ou d’un autre titre de mainlevée définitive, le poursuivant qui s’oppose à la compensation ne peut se prévaloir que des exceptions libératoires de l’art. 81 al. 1 LP (Abbet, op. cit. , n. 13 ad art. 81 LP et les réf. citées). bb) Conformément au principe de l'unité du jugement de divorce consacré à l'art. 283 CPC, l'autorité de première instance, ou de recours, qui prononce le divorce, de même que l'autorité de recours appelée à régler certains effets accessoires alors que le principe du divorce n'est plus litigieux, ne peuvent pas mettre fin à la procédure sans avoir réglé tous les effets accessoires du divorce (ATF 144 III 298 consid. 6.3.1 ; ATF 137 III 49 consid. 3.5 ; ATF 134 III 426 consid. 1.2 ; cf. implicitement : ATF 144 III 368 consid. 3.5 ; TF 5A_182/2018 du 25 juin 2018 consid. 3.2). Cette règle, dont l'objectif est d'assurer un règlement uniforme et cohérent de toutes les questions relatives au divorce, s'applique aussi aux créances entre conjoints qui ne résultent pas du régime matrimonial, pourvu qu'elles soient en rapport avec l'union conjugale et avec l'obligation d'assistance mutuelle qui en résulte (ATF 111 II 401 consid. 4b ; ATF 109 Ia 53 consid. 2 ; TF 5A_182/2018 du 25 juin 2018 consid. 3.2 ; TF 5A_633/2015 du 18 février 2016 consid. 4.1.2 et les références). La seule exception au principe de l’unité du jugement de divorce concerne la liquidation du régime matrimonial, qui peut être renvoyée à une procédure séparée pour de justes motifs (art. 283 al. 2 CPC). Cette contestation doit aussi être tranchée par le juge du divorce (TF 5A_633/2015 du 18 février 2016 consid. 4.1.2). b) En l’espèce, l’intimé invoque en compensation deux créances de dépens de 1'837 fr. 50 et 1'439 fr. 65, résultant de jugements rendus respectivement le 2 septembre 2014 par le Tribunal d’arrondissement de Lausanne et le 29 février 2016 par le Tribunal d’arrondissement de La Broye et du Nord vaudois. Le divorce des parties a été prononcé plus tard, soit le 16 mars 2018. Si les créances susmentionnées existaient encore, leur sort aurait dû être réglé dans le cadre du jugement de divorce conformément au principe de l’unité du jugement rappelé ci-dessus. A cet égard, la convention signée le 3 novembre 2017 et ratifiée par le tribunal pour valoir jugement précise, à son chiffre XI, que les parties admettent que leur régime matrimonial est dissous et liquidé et que l’intimé remboursera à la recourante la part de 2'028 fr. lui revenant sur une garantie locative. En d’autres termes, les parties ont alors reconnu qu’elles n’avaient plus aucune créance à faire valoir l’une contre l’autre, sous réserve d’un montant de 2'028 francs lié à une garantie de loyer et des créances alimentaires prévues sous chiffre IV, VIII et IX de la convention. On peut ainsi déduire du jugement de divorce rendu le 16 mars 2018 que les créances en dépens résultant des jugements antérieurs avaient été préalablement éteintes. Par conséquent, c’est à tort que le premier juge a admis le moyen libératoire de l’intimé tiré de l’existence de créances compensantes. Le recours doit donc être admis sur ce point. V. a) En conclusion, le recours doit être partiellement admis et le prononcé réformé en ce sens que la mainlevée définitive de l’opposition à la poursuite en cause est prononcée à concurrence de 7'000 fr., plus intérêt à 5% l’an dès le 30 mai 2018. b) La recourante et poursuivante obtient ainsi environ 80% de ses conclusions de première instance (de 8'600 fr.). Les frais judiciaires, fixés à 210 fr., doivent être mis à sa charge par 42 fr. et provisoirement laissés à la charge de l’Etat, le poursuivi étant au bénéfice de l’assistance judiciaire en première instance, par 168 francs. La poursuivante a droit à des dépens de première instance, arrêtés à 1'000 fr. (art. 3 et 6 TDC [tarif des dépens en matière civile ; BLV 270.11.6) et réduits de 20%, soit à 800 francs. Aucun élément du dossier ne justifie l’allocation de pleins dépens de 2'680 fr. à laquelle elle conclut. Le poursuivi, qui n’a pas produit de déterminations écrites sur la requête de mainlevée, a droit pour sa part à des dépens réduits de 160 fr. (20% de 800 fr.). Il doit donc verser à la poursuivante la somme de 640 fr. (800 fr. – 160 fr.) à titre de dépens de première instance (art. 118 al. 3 CPC). c) L’intimé a requis l’assistance judiciaire dans la procédure de recours. Au vu du sort du recours et de sa situation financière ressortant de la requête et des pièces qu’il a produites, il y a lieu de lui accorder le bénéfice de cette assistance, avec effet au 13 septembre 2019, et de désigner Me Yann Jaillet comme son avocat d’office. Ce dernier a déposé une liste d’opérations le 13 décembre 2019, faisant état de quatre heures et vingt minutes de travail, ce qui est admissible pour la rédaction d’un mémoire de réponse de quatre pages, trois lettres, deux téléphones et un bref entretien avec son client, ainsi que des « opérations futures » estimées à vingt-cinq minutes. Au tarif horaire de 180 fr. (art. 2 al. 1 let. a RAJ [règlement sur l’assistance judiciaire en matière civile ; BLV 211.02.3]), cela équivaut à un défraiement de 780 fr., à quoi s’ajoutent des débours de 2% du défraiement (art. 3bis al. 1 RAJ), soit 15 fr. 60, et la TVA sur le tout (art. 2 al. 3 RAJ), soit 61 fr. 25. L’indemnité totale du conseil d’office est donc fixée à 856 fr. 85, montant arrondi à 857 francs. d) La recourante obtient pratiquement entièrement gain de cause en deuxième instance. Il se justifie donc de laisser les frais judiciaires, arrêtés à 315 fr., provisoirement à la charge de l’Etat, l’intimé étant au bénéfice de l’assistance judiciaire, et de rembourser à la recourante son avance de frais de 315 francs. Celle-ci a droit en outre à de pleins dépens, arrêtés à 800 fr. (art. 8 TDC), à la charge de l’intimé (art. 118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