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221 vom 3. Dezember 2019</w:t>
      </w:r>
    </w:p>
    <w:p>
      <w:r>
        <w:t>VD Tribunal cantonal, 2019-12-03, FR</w:t>
      </w:r>
    </w:p>
    <w:p>
      <w:r>
        <w:rPr>
          <w:b/>
        </w:rPr>
        <w:t xml:space="preserve">Quelle: </w:t>
      </w:r>
      <w:r>
        <w:t>https://mcp.opencaselaw.ch/entscheid/vd_findinfo_ML___2019___221</w:t>
      </w:r>
    </w:p>
    <w:p>
      <w:r>
        <w:t>FR: VD_FINDINFO ML / 2019 / 221 du 3 décembre 2019</w:t>
      </w:r>
    </w:p>
    <w:p>
      <w:r>
        <w:t>IT: VD_FINDINFO ML / 2019 / 221 del 3 dicembre 2019</w:t>
      </w:r>
    </w:p>
    <w:p>
      <w:pPr>
        <w:pStyle w:val="Heading2"/>
      </w:pPr>
      <w:r>
        <w:t>Regeste</w:t>
      </w:r>
    </w:p>
    <w:p>
      <w:r>
        <w:t>MAINLEVÉE DÉFINITIVE, TITRE DE MAINLEVÉE, TRANSACTION JUDICIAIRE, OBLIGATION D'ENTRETIEN, ENFANT, MAJORITÉ{ÂGE}, COMPENSATION DE CRÉANCES, CONCORDANCE, CRÉANCIER, CONDITION RÉSOLUTOIRE | 277 al. 2 CC, 279 al. 1 CC, 120 CO, 80 al. 2 ch. 1 LP, 80 LP, 81 al. 1 LP</w:t>
      </w:r>
    </w:p>
    <w:p>
      <w:pPr>
        <w:pStyle w:val="Heading2"/>
      </w:pPr>
      <w:r>
        <w:t>Erwägungen</w:t>
      </w:r>
    </w:p>
    <w:p>
      <w:r>
        <w:rPr>
          <w:b/>
        </w:rPr>
        <w:t>E. 9</w:t>
      </w:r>
    </w:p>
    <w:p>
      <w:r>
        <w:t>juillet 2012 consid. 6.1.1 ; Abbet, op. cit., nn. 26 et 27 ad art. 80 LP).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d’un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bb) Selon l'art. 277 al. 2 CC, disposition non modifiée par la LF du 20 mars 2015 (entretien de l’enfant) en vigueur depuis le 1 er janvier 2017,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Dans la pratique, la majorité des conventions d’entretien et des jugements de divorce prévoient une contribution d’entretien en faveur de l’enfant après sa majorité, et ce même si l’enfant est très jeune au moment du jugement. Il s’agit d’éviter que celui-ci ne doive agir contre ses parents ou l’un d’entre eux afin de pouvoir poursuivre sa formation. Si les conditions posées par l’art. 277 al. 2 CC ne sont pas remplies à la majorité (absence de formation réalisée dans des délais normaux, refus d’entretenir des relations personnelles avec le parent débiteur par exemple), il revient au parent débiteur de la contribution d’entretien d’agir en modification (cf. Helle, in Bohnet/Guillod (éd.), Droit matrimonial, Fond et procédure, n° 103 ad art. 133 CC et les réf. citées). Selon la jurisprudence de la cour de céans,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publié in JdT 2004 II 134).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14 janvier 2013/16; CPF 8 février 2007/26 ; CPF 31 janvier 2017/25). La jurisprudence récente du Tribunal fédéral va dans ce sens. Elle considère qu’un jugement qui ordonne expressément le paiement de l’entretien après la majorité constitue un titre à la mainlevée définitive pour autant qu’il condamne le débiteur au paiement d’un montant déterminé et en arrête la durée (ATF 144 III 193 consid. 2.2, JdT 2018 II 351). b) En l’espèce, le recourant soutient que la convention des 10 et 21 octobre 2009 ratifiée par le jugement du 10 mai 2010 ne contient aucun engagement de sa part à verser la contribution en cause au-delà de la majorité de B.Q.________ dans la mesure où elle fixe le montant dû jusqu’à la majorité « ou, au-delà, dans les limites fixées par l’article 277 al. 2 CC » cette mention devant être qualifiée de réserve de cette disposition légale, et où l’avenant du 31 décembre 2013 ratifié pour valoir jugement en ce qui concerne C.Q.________ et B.Q.________ par le prononcé du 30 janvier 2014 n’a pas modifié les conditions d’octroi de la contribution. On ne saurait le suivre dans ce raisonnement. En effet le chiffre 1 de l’avenant signé le 31 décembre 2013 prévoit que « Point B.1 : La pension mensuelle est réduite à de CHF 1'750.— à CHF 1'000.— par enfant ; dès leur majorité, les enfants recevront le montant de leur pension sur leur propre compte privé. ». Il ressort du libellé de ce chiffre que le recourant s’est engagé à verser à ses enfants la contribution réduite à 1'000 fr. par mois après leur majorité et cela suffit pour admettre que cet avenant constitue un titre à la mainlevée définitive pour les pensions dues à B.Q.________ après sa majorité. Au demeurant, le libellé de la convention des 10 et 21 octobre 2009 prévoit l’engagement du recourant à contribuer à l’entretien de ses enfants « jusqu’à la majorité de chacun d’eux, ou au-delà, dans les limites fixées par l’article 277 al. 2 CC. » et non « jusqu’à la majorité de chacun d’eux, l’article 277 al. 2 CC étant réservé » comme dans le cas sanctionné par l’arrêt paru au JdT 2004 II 134 précité. Il n’y a donc pas rappel au débiteur que son obligation d'entretien peut se prolonger au-delà de la majorité de l'enfant, mais bien engagement de celui-ci à exécuter cette obligation. Le recours doit être rejeté sur ce point. III. Le recourant soutient que B.Q.________ n’est pas titulaire de la créance en poursuite, dès lors qu’elle n’était pas partie à la convention du 31 décembre 2013 et qu’elle n’a pas émis de déclaration d’adhésion à cette convention. a) Dans un arrêt publié aux ATF 129 III 55, le Tribunal fédéral a émis les considérations suivantes : « (…) 3.1.2 L'art. 133 al. 1 1re phrase CC énumère les questions relatives au sort des enfants que le juge du divorce doit trancher (cf. art. 279 al. 3 CC), ainsi la contribution d'entretien due à l'enfant par le parent qui n'a pas l'autorité parentale. La deuxième phrase de l'art. 133 al. 1 CC précise que cette contribution peut être fixée pour une période allant au-delà de l'accès à la majorité. Il résulte du sens littéral de cette norme que le juge doit fixer la contribution d'entretien pour la minorité de l'enfant - ce qui est la règle -, et qu'il peut aussi le faire pour la période allant au-delà de l'accès à la majorité. Le texte légal n'indique toutefois pas expressément qui peut réclamer la pension en faveur de l'enfant, ni qui peut le faire lorsque l'enfant mineur devient majeur au cours du procès. Les dispositions relatives aux effets de la filiation (art. 270 ss CC) prévoient que la qualité pour agir en paiement de contributions d'entretien appartient à l'enfant (art. 279 al. 1 CC). Dès lors, si l'enfant est majeur et a la capacité d'ester en justice (Prozessfähigkeit), il peut mener lui-même le procès (ou désigner lui-même un mandataire à cet effet). S'il est mineur, il a la capacité d'être partie (Parteifähigkeit), mais est dépourvu de celle d'ester en justice et doit donc être représenté en procédure par son représentant légal (art. 304 CC). Lorsqu'il devient majeur en cours de procédure, le pouvoir de son représentant légal s'éteint; l'enfant doit alors poursuivre lui-même le procès. Cette réglementation n'est pas applicable dans le cadre d'un divorce, puisque l'enfant n'est normalement pas partie à cette procédure, qui oppose ses parents. L'art. 279 al. 3 CC réserve d'ailleurs expressément la compétence attribuée au juge du divorce par les dispositions en la matière. Par conséquent, pour déterminer qui peut agir en paiement de la contribution d'entretien de l'enfant, et ce qu'il advient de cette faculté lorsque l'enfant mineur accède à la majorité au cours du procès en divorce, il convient de rechercher le sens de l'art. 133 al. 1 CC en recourant aux moyens d'interprétation mentionnés plus haut. Ces questions relèvent en effet du droit fédéral, et non du droit cantonal: puisque l'art. 279 al. 1 CC règle de manière générale la question de la qualité pour agir en paiement des contributions d'entretien, et que l'art. 279 al. 3 CC réserve la réglementation du divorce, la faculté de faire valoir les prétentions de l'enfant doit être déduite de ce droit, en l'occurrence de l'art. 133 al. 1 CC; en outre, si le droit fédéral détermine qui a la faculté de poursuivre en justice les prétentions de l'enfant, il doit aussi fixer quand cette faculté s'éteint. 3.1.3 Selon une jurisprudence constante, dans le procès en divorce, le parent auquel l'autorité parentale est attribuée fait valoir en son propre nom et à la place de l'enfant mineur la contribution d'entretien due à celui-ci (ATF 112 II 199 consid. 2 p. 202; ATF 109 II 371 consid. 4 p. 372/373; ATF 107 II 465 consid. 6b p. 473). De manière générale, la jurisprudence a en effet toujours admis que le détenteur de l'autorité parentale puisse exercer en son propre nom les droits de l'enfant mineur (ATF 84 II 241 p. 245; ATF 90 II 351 consid. 3 p. 355/356; cf. art. 318 al. 1 CC). Cette faculté de poursuivre en justice en son propre nom le droit d'un tiers à la place de celui-ci est désignée par la doctrine de langue allemande par les termes de "Prozessstandschaft" ou "Prozessführungsbefugnis" (cf. GULDENER, Schweizerisches Zivilprozessrecht, 3e éd., 1979, p. 142; STAEHELIN/SUTTER, Zivilprozessrecht, Zurich 1992, § 9 n. 22 p. 84; HEGNAUER, Berner Kommentar, n. 125 s. ad art. 279/280 CC; HINDERLING/STECK, Das Schweizerische Ehescheidungsrecht, Zurich 1995, p. 457 s.). 3.1.4 Puisque cette faculté du parent présuppose qu'il ait l'autorité parentale, elle ne devrait logiquement porter que sur les pensions antérieures à la majorité de l'enfant. Le législateur en a toutefois décidé autrement. Lors de la modification du code civil du 7 octobre 1994, entrée en vigueur le 1er janvier 1996 (RO 1995 p. 1126), par laquelle l'âge de la majorité civile et matrimoniale a été abaissé de vingt à dix-huit ans, les Chambres fédérales ont complété l'art. 156 al. 2 aCC par une deuxième phrase énonçant que "la contribution d'entretien peut aussi être maintenue au-delà de l'âge de la majorité" (BO 1993 CE 662; BO 1994 CN 1144), adjonction que ne proposait pas le projet du Conseil fédéral (FF 1993 I 1115ss). En étendant ainsi la faculté d'agir du parent détenteur de l'autorité parentale, le législateur a voulu éviter que l'abaissement de l'âge de la majorité ne compromît la formation des jeunes gens, en contraignant l'enfant devenu adulte à ouvrir en son propre nom une action indépendante contre son parent (BO 1993 CE 662, BO 1994 CN 1144). Avant l'introduction de cette disposition dans la loi, la jurisprudence avait d'ailleurs déjà admis, pour des motifs d'opportunité et d'économie de procédure, que le juge du divorce puisse fixer, dans certaines circonstances exceptionnelles bien précises, la contribution d'entretien pour la période postérieure à la majorité de l'enfant (ATF 112 II 199 consid. 2 p. 203; ATF 109 II 371 consid. 4 p. 374). L'art. 133 al. 1 2e phrase CC a repris en substance le texte de l'art. 156 al. 2 2e phrase aCC (FF 1996 I 127). Le juge du divorce requis de fixer la pension due à un enfant mineur doit donc le faire pour la période antérieure à la majorité, et en a également la possibilité pour la période postérieure à celle-ci. Interprété selon la volonté du législateur, l'art. 133 al. 1 2e phrase CC confère donc au parent détenteur de l'autorité parentale la faculté de demander, en son propre nom et à la place de l'enfant mineur (Prozessstandschaft ou Prozessführungsbefugnis), des contributions d'entretien non seulement pour la période précédant la majorité, mais également pour la période suivant celle-ci. 3.1.5 Vu le but poursuivi par le législateur lors de l'introduction de l'art. 156 al. 2 2e phrase aCC, l'enfant mineur qui devient majeur au cours du procès en divorce ne doit pas non plus être forcé d'ouvrir une action indépendante contre son parent. Il convient donc d'admettre que la faculté d'agir du parent qui détient l'autorité parentale (Prozessstandschaft ou Prozessführungsbefugnis) perdure au-delà de la majorité de l'enfant, lorsque celle-ci survient en cours de procédure.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Toutefois, comme l'enfant est désormais majeur,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(art. 133 al. 2 et art. 144 al. 2 CC; FF 1996 I 145 n. 234.101; ATF 124 III 90 consid. 3; ATF 120 Ia 369),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 (…) ». b) Il ressort de ces considérations que B.Q.________ a toujours été la titulaire du droit à son entretien en vertu de l’art. 279 al. 1 CC et que, si sa mère a réclamé en son nom propre la contribution en cause durant les procédures de divorce et de modification du jugement de divorce, c’est en raison de la « Prozessstandschaft » découlant de la minorité de l’enfant au moment des procédures. Etant demeurée titulaire du droit à son entretien, B.Q.________ n’avait pas à approuver formellement la convention du 31 décembre 2013, sa majorité n’étant pas intervenue durant la procédure ayant abouti à celle-ci, comme cela a été le cas de son frère. En effet cette approbation n’est selon la jurisprudence susmentionnée nécessaire que parce qu’il convient que le procès ne se continue pas contre la volonté de l’enfant devenu majeur. Par ailleurs, il n’est pas contesté que B.Q.________ ait cédé son droit au poursuivant par acte du 27 avril 2018. Il y a donc bien identité entre le poursuivant et le créancier. Le recours doit être rejeté sur ce point. IV. a) 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Selon la jurisprudence, par « extinction de la dette », l’art. 81 al. 1 LP ne vise pas seulement le paiement, mais aussi toute autre cause de droit civil, comme, par exemple l’accomplissement d’une condition résolutoire (ATF 144 III 193 consid. 2.1 ; ATF 124 III 501 consid. 3b) ou la compensation (ATF 136 III 624 consid. 4.2.1 ; ATF 124 III 501 consid. 3b et les références citées, JdT 1999 II 136). b)aa) Le jugement qui condamne un père au paiement de contributions d’entretien « jusqu’à la fin de la formation professionnelle, pour autant qu’il achève sa formation dans des délais raisonnables », est conditionnellement exécutoire, en ce sens qu’il soumet l’entretien au-delà de la majorité à la condition – résolutoire  – de l’achèvement de la formation dans un délai raisonnable.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144 III 193 consid. 2.2 et les réf. citées ; ATF 143 III 564 consid. 4.2.2). bb) En l’espèce, le recourant soutient que l’acquisition d’une formation professionnelle n’était pas une condition résolutoire de l’obligation d’entretien, vu le texte de la convention des 10 et 21 octobre 2009, et, qu’au surplus, cette condition est réalisée dès lors que B.Q.________ a travaillé comme stagiaire à 60 % puis à 80 % du 1 er décembre 2017 au 6 juillet 2018, ce qui démontrerait qu’elle avait achevé sa formation et disposait de moyens financiers propres. Toutefois, comme on l’a vu au considérant II ci-dessus, le recourant a bien pris un engagement de verser à B.Q.________ une contribution d’entretien mensuelle de 1'000 fr. après sa majorité, de sorte que la condition de l’accomplissement de la formation découlant de l’art. 277 al. 2 CC est donc bien de nature résolutoire, au vu de la jurisprudence susmentionnée. A cet égard, le fait que B.Q.________ ait été engagée comme stagiaire à 60 % puis à 80 % pour un salaire mensuel de 390 fr. brut puis de 520 fr. brut du 1 er décembre 2017 au 6 juillet 2018 ne permet à l’évidence pas de conclure que celle-ci a achevé sa formation professionnelle, ce stage apparaissant plutôt comme une étape de cette formation. Au surplus, B.Q.________ n’a pas admis avoir achevé sa formation professionnelle et ce fait n’est pas notoire. Le recours doit être rejeté sur ce point. c)aa) En ce qui concerne la compensation, contrairement à ce qui est le cas en matière de mainlevée provisoire où la vraisemblance suffit, le poursuivi doit apporter par pièces la preuve stricte de l’extinction de la dette (ATF 136 III 624 consid. 4.2.1 précité ; ATF 124 III 501 précité consid. 3a, JdT 1999 II 136).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 TF 5A_709/2014 du 18 juillet 2016 consid. 3.1).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(ATF 140 III 372 consid. 3.1 et les réf. cit., JdT 2015 II 331 ; ATF 115 III 97 consid. 4 précité et les réf. cit., JdT 1991 II 47). La compensation ne peut être retenue que si la créance compensante résulte elle-même d'un titre exécutoire ou lorsqu'elle est admise sans réserve par le poursuivant (TF 5D_180/2012 du 31 janvier 2013, consid. 3.3.2 ; ATF 136 III 624 consid. 4.2.1 précité ; ATF 115 III 97 consid. 4 et les références citées, JdT 1991 II 47). La preuve de l’extinction par compensation d’une créance constatée par un titre de mainlevée ne peut ainsi être apportée que par la production de titres qui justifieraient eux-mêmes la mainlevée définitive ou à tout le moins la mainlevée provisoire (TF 5P. 459/2002 du 29 janvier 2003 consid. 2.2.1 ; ATF 115 III 97 consid. 4 précité, JdT 1991 II 47 ; Staehelin, in Staehelin/Bauer/Staehelin (éd.), Basler Kommentar, Bundesgesetz über Schuldbetreibung und Konkurs I, 2 e éd., 2010, n. 10 ad art. 81 SchKG [LP]). La créance compensante peut ainsi également se fonder sur une reconnaissance de dette inconditionnelle, pour autant qu’elle ne soit pas contestée par le créancier (Abbet, op. cit., n. 13 ad art. 81 LP ; ATF 136 III 624 consid. 4.2.3 précité). Une partie de la doctrine considère qu’une contestation non fantaisiste de la reconnaissance de dette suffit pour faire échec à la compensation (Abbet, loc. cit. ; Marchand, La compensation dans la procédure de poursuite, JdT 2012 II 61 ss, p. 64).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op. cit., n. 14 ad art. 81 LP ; Staehelin, loc. cit.; sur le tout CPF 29 décembre 2017/315). bb) En l’espèce, le recourant invoque en compensation le paiement de l’abonnement général de B.Q.________ et a produit à cet effet en première instance une copie d’un relevé du compte à son nom établi le 27 décembre 2017 par Postfinance, attestant d’un versement le 4 décembre 2107 d’un montant de 2'490 fr. en faveur des CFF et une copie d’un courriel que CFF lui a adressé le 28 novembre 2018, refusant de lui transmettre une confirmation d’achat, dès lors que sa fille était « elle-même contractuelle », l’informant que cette confirmation d’achat avait été envoyée à sa fille et l’invitant à s’adresser à celle-ci. Ces documents ne constituent pas une reconnaissance de dette au sens de l’art. 82 al. 1 LP, ni un titre à la mainlevée définitive et B.Q.________ n’a pas reconnu devoir au recourant ce montant. Au surplus, il est douteux que la créance d’aliments en cause puisse être éteinte par compensation (art. 125 ch. 2 CO). Enfin, il ressort des conventions signées par le recourant que celui-ci s’est reconnu débiteur, à certaines conditions, des frais d’entretien extraordinaires de ses enfants. Il ne saurait dès lors invoquer la compensation entre deux de ses dettes. Les conditions d’admission du moyen libératoire tiré de la compensation ne sont pas réalisées et celui-ci doit en conséquence être rejeté. V. En conclusion, le recours, manifestement mal fondé, doit être rejeté et le prononcé confirmé. Vu le rejet du recours, les frais judiciaires de deuxième instance, arrêtés à 405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