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185 vom 30. September 2019</w:t>
      </w:r>
    </w:p>
    <w:p>
      <w:r>
        <w:t>VD Tribunal cantonal, 2019-09-30, FR</w:t>
      </w:r>
    </w:p>
    <w:p>
      <w:r>
        <w:rPr>
          <w:b/>
        </w:rPr>
        <w:t xml:space="preserve">Quelle: </w:t>
      </w:r>
      <w:r>
        <w:t>https://mcp.opencaselaw.ch/entscheid/vd_findinfo_ML___2019___185</w:t>
      </w:r>
    </w:p>
    <w:p>
      <w:r>
        <w:t>FR: VD_FINDINFO ML / 2019 / 185 du 30 septembre 2019</w:t>
      </w:r>
    </w:p>
    <w:p>
      <w:r>
        <w:t>IT: VD_FINDINFO ML / 2019 / 185 del 30 settembre 2019</w:t>
      </w:r>
    </w:p>
    <w:p>
      <w:pPr>
        <w:pStyle w:val="Heading2"/>
      </w:pPr>
      <w:r>
        <w:t>Regeste</w:t>
      </w:r>
    </w:p>
    <w:p>
      <w:r>
        <w:t>MAINLEVÉE PROVISOIRE, TITRE DE MAINLEVÉE, BAIL À LOYER, FORMULE OFFICIELLE, NOUVEAU MOYEN DE PREUVE | 270 al. 2 CO, 82 al. 1 LP, 82 LP, 326 al. 1 CPC (CH)</w:t>
      </w:r>
    </w:p>
    <w:p>
      <w:pPr>
        <w:pStyle w:val="Heading2"/>
      </w:pPr>
      <w:r>
        <w:t>Erwägungen</w:t>
      </w:r>
    </w:p>
    <w:p>
      <w:r>
        <w:rPr>
          <w:b/>
        </w:rPr>
        <w:t>E. 26</w:t>
      </w:r>
    </w:p>
    <w:p>
      <w:r>
        <w:t>novembre 2015/326 ; Veuillet, in Abbet/Veuillet (éd.), La mainlevée de l’opposition, n. 154 ad art. 82 LP ; Staehelin, in Staehelin/ Bauer/Staehelin (éd.), Basler Kommentar, SchKG I, 2 e éd., 2010, n. 114 ad art. 82 SchKG [LP]; Trümpy, La mainlevée d’opposition provisoire en droit du bail, in BlSchK 2010, pp. 105 ss, p. 106; Krauskopf, La mainlevée provisoire : quelques jurisprudences récentes, in JdT 2008 II 23 ss, p. 35; BlSchk 2006, p. 140). En signant le contrat de bail, le locataire reconnaît son obligation de payer le loyer non seulement pour la durée d'occupation de l'objet loué, mais pour toute la durée contractuelle (ATF 134 III 267 consid. 3, JdT 2008 II 77, Veuillet, op. cit., n. 163 ad art. 82 LP). bb) En vertu de l’art. 270 al. 2 CO, en cas de pénurie de logements, les cantons peuvent rendre obligatoire, sur tout ou partie de leur territoire, l’usage de la formule officielle mentionnée à l’art. 269d CO pour la conclusion de tout nouveau bail. Le canton de Vaud a fait usage de cette faculté en adoptant la LFOCL (loi du 7 mars 1993 sur l'utilisation d'une formule officielle au changement de locataire, RSV 221.315), qui précise qu'il y a pénurie lorsque le taux de logements vacants offerts en location, établi pour l'ensemble du canton, est inférieur à 1,5 % du parc locatif (art. 4). Par arrêté du 9 juillet 2001, entré en vigueur le 1 er août 2001, puis par arrêté du 26 mars 2014 (ALFOCL; BLV 221.315.1), entré en vigueur le 1 er avril 2014, le Conseil d'Etat a rendu obligatoire cette formule. Selon la jurisprudence, lorsque le bailleur ne fait pas usage, lors de la conclusion du bail, de la formule officielle prescrite par l’art. 270 CO, sa non utilisation entraîne la nullité partielle du contrat de bail, sous l’angle de la fixation du montant du loyer, ce qui doit être constaté d’office (ATF 140 III 583 consid. 3.2.1 et 3.2.2 et références ; ATF 124 III 62 consid. 2a, rés. in JT 1998 I 612; ATF 120 II 341 consid. 5d, rés. in JdT 1995 I 382). Il appartient alors au juge du fond de déterminer le loyer initial en se fondant sur toutes les circonstances du cas, notamment sur le rendement admissible (art. 269 CO), les loyers pratiqués dans le quartier (art. 269a CO), et le loyer payé par le précédent locataire (ATF 124 III 62 précité consid. 2b, rés. in JT 1998 I 612 ; TF 4A_198/2014 du 17 juillet 2014 consid. 4.1 ; TF 4A_129/2008 du 10 juin 2008 consid. 2.3 ; Lachat/Stastny, in Lachat/Grobet Thorens/Rubli/Stastny, Le bail à loyer, éd. 2019, pp. 496-497 ; Fetter, La contestation du loyer initial, étude de l’article 270 CO, thèse Berne 2005, pp. 250 ss). En revanche, il n’entre pas dans les compétences du juge de la mainlevée de procéder à une telle appréciation. Ainsi, selon une jurisprudence maintenant bien établie, approuvée par la doctrine, la cour de céans a considéré que le contrat de bail ne valait pas à lui seul titre de mainlevée, lorsque l’usage de la formule officielle était nécessaire (Veuillet, op. cit., n. 162 ad art. 82 LP ; Hack, Formalisme et durée : quelques développements récents du droit du bail, in JdT 2007 II 4 ss, spéc. p. 5; CPF 20 juin 2019/130 ; CPF 8 mai 2017/95 ; CPF, 2 avril 2014/125 ; CPF 27 septembre 2011/404 ; CPF 5 février 2009/32; CPF 18 septembre 2008/440). b) Le recourant fait valoir qu’il a omis de produire la formule officielle requise par l’art. 270 al. 2 CO en première instance, que le contrat de bail produit la mentionne à son chiffre 6.2 et qu’il l’a produite avec le recours. Comme on l’a vu au considérant Ib ci-dessus, la pièce 3 consistant dans la formule officielle en cause est irrecevable car nouvelle. Le recourant ne peut ainsi remédier à son erreur dans le cadre de la présente procédure de mainlevée et la seule mention de cette formule dans le contrat ne suffit pas à pallier l’absence de production de celle-ci en première instance. Le recours doit être rejeté sur ce point. III. Le recourant conclut au renvoi de la cause au premier juge pour qu’il cite valablement les parties à une nouvelle audience puis rende une nouvelle décision. Il ne développe toutefois aucune argumentation à l’appui de ce moyen et il ne ressort pas du dossier de la cause que la notification des citations à comparaître aurait été viciée. IV. En conclusion, le recours, manifestement mal fondé, doit être rejeté et le prononcé confirmé. Vu le rejet du recours, les frais judiciaires de deuxième instance, arrêtés à 360 fr.,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