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2019 / 173 vom 2. September 2019</w:t>
      </w:r>
    </w:p>
    <w:p>
      <w:r>
        <w:t>VD Tribunal cantonal, 2019-09-02, FR</w:t>
      </w:r>
    </w:p>
    <w:p>
      <w:r>
        <w:rPr>
          <w:b/>
        </w:rPr>
        <w:t xml:space="preserve">Quelle: </w:t>
      </w:r>
      <w:r>
        <w:t>https://mcp.opencaselaw.ch/entscheid/vd_findinfo_ML___2019___173</w:t>
      </w:r>
    </w:p>
    <w:p>
      <w:r>
        <w:t>FR: VD_FINDINFO ML / 2019 / 173 du 2 septembre 2019</w:t>
      </w:r>
    </w:p>
    <w:p>
      <w:r>
        <w:t>IT: VD_FINDINFO ML / 2019 / 173 del 2 settembre 2019</w:t>
      </w:r>
    </w:p>
    <w:p>
      <w:pPr>
        <w:pStyle w:val="Heading2"/>
      </w:pPr>
      <w:r>
        <w:t>Regeste</w:t>
      </w:r>
    </w:p>
    <w:p>
      <w:r>
        <w:t>CONSTATATION DES FAITS, DÉPENS, RÉPARTITION DES FRAIS, ADMISSION DE LA DEMANDE, ERREUR | 107 al. 2 CPC (CH), 320 let. b CPC (CH)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fine CPC assimilant le défendeur qui acquiesce aux conclusions de sa partie adverse à la partie succombante. La valeur litigieuse étant de 51'487 fr. 15, l’art. 8 TDC (tarif du 23 novembre 2010 des dépens en matière civile ; BLV 270.11.6) prévoit que les dépens doivent être fixés entre 1'000 et 5'000 francs. Toutefois, le recours ayant porté sur une question procédurale limitée, il y a lieu de s’écarter du minimum prévu par cette disposition en application de l’art. 20 al. 2 TDC et de les fixer à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