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147 vom 9. September 2019</w:t>
      </w:r>
    </w:p>
    <w:p>
      <w:r>
        <w:t>VD Tribunal cantonal, 2019-09-09, FR</w:t>
      </w:r>
    </w:p>
    <w:p>
      <w:r>
        <w:rPr>
          <w:b/>
        </w:rPr>
        <w:t xml:space="preserve">Quelle: </w:t>
      </w:r>
      <w:r>
        <w:t>https://mcp.opencaselaw.ch/entscheid/vd_findinfo_ML___2019___147</w:t>
      </w:r>
    </w:p>
    <w:p>
      <w:r>
        <w:t>FR: VD_FINDINFO ML / 2019 / 147 du 9 septembre 2019</w:t>
      </w:r>
    </w:p>
    <w:p>
      <w:r>
        <w:t>IT: VD_FINDINFO ML / 2019 / 147 del 9 settembre 2019</w:t>
      </w:r>
    </w:p>
    <w:p>
      <w:pPr>
        <w:pStyle w:val="Heading2"/>
      </w:pPr>
      <w:r>
        <w:t>Regeste</w:t>
      </w:r>
    </w:p>
    <w:p>
      <w:r>
        <w:t>MAINLEVÉE DÉFINITIVE, TRANSACTION JUDICIAIRE, CRÉANCE, OBLIGATION D'ENTRETIEN, REVENU IMMOBILIER{EN GÉNÉRAL}, REMARIAGE, NATURE JURIDIQUE | 80 LP, 81 LP</w:t>
      </w:r>
    </w:p>
    <w:p>
      <w:pPr>
        <w:pStyle w:val="Heading2"/>
      </w:pPr>
      <w:r>
        <w:t>Erwägungen</w:t>
      </w:r>
    </w:p>
    <w:p>
      <w:r>
        <w:rPr>
          <w:b/>
        </w:rPr>
        <w:t>E. 12</w:t>
      </w:r>
    </w:p>
    <w:p>
      <w:r>
        <w:t>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TF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ATF 135 III 315 consid. 2.3 ; TF 5D_171/2016 consid. 5 précité ; TF 5A_217/2012 du 9 juillet 2012 consid. 6.1.1).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L'extinction de la dette peut non seulement intervenir par paiement ou compensation mais également en vertu de toutes les causes d'extinction du droit matériel, notamment la remise de dette, la novation, la confusion ou l'accomplisse-ment d'une condition résolutoire. Lorsque le jugement prévoit une condition résolutoire, il incombe donc au débiteur de prouver par titre immédiatement disponible sa réalisation, à moins que celle-ci ne soit reconnue sans réserve par le débiteur ou qu'elle ne soit notoire (TF 5A_445/2012 du 2 octobre 2013 consid. 4.3 et les références, publié in SJ 2014 I 189). De même, le débiteur d'entretien est valablement libéré s'il établit par titre le remariage du créancier (art. 130 al. 2 CC) (Abbet, in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 ment ; lorsqu'elle est conclue plus tard, elle n'est soumise à aucune exigence de forme (Pichonnaz, in Pichonnaz/Foëx (éd.), Commentaire romand, Code civil, 2010, n. 22 ad art. 130 CC). Cela ne vaut cependant que pour les contributions d'entretien fixées sous forme de rente (Pichonnaz, op. cit., n. 3 ad art. 130 CC). c) En l'espèce, les parties sont divisées sur la nature de la créance résultant de la convention ratifiée par jugement de divorce du 15 février 2001, la recourante soutenant qu'il s'agirait d'une obligation d'entretien au sens de l'art. 130 CC, l'intimé qu'il s'agirait d'une créance ordinaire, respectivement une forme de partage de la propriété économique sur l'immeuble ou l'un des éléments de l'accord général intervenu entre les époux au sujet de la propriété juridique et économique de l'immeuble rue [...]. aa) La recourante soutient qu'il appartiendrait à l'intimé d'établir que la contribution litigieuse ne constitue pas une créance d'entretien, comme son libellé "contribution d'entretien" l'indiquerait, dès lors qu'en matière d'interprétation des contrats, le fardeau de la preuve incombe à celui qui s'éloigne du sens objectif du texte. Le moyen méconnaît que le juge de la mainlevée ne peut pas interpréter, au sens de l'art. 18 al. 1 CO, une transaction judiciaire et qu'il doit se limiter à examiner si la transaction oblige définitivement le débiteur au paiement d'une somme d'argent déterminée. bb) La recourante conteste par ailleurs que l'on puisse déduire quoi que ce soit de la pratique suivie pendant seize ans, dès lors qu'elle "n'avait pas de connaissance certaine du remariage de M. V.________ avant janvier 2016". Ce fait ne résulte pas des pièces du dossier. Y figure au contraire une lettre du 20 juillet 2001 par laquelle l'intimé informe la recourante de son mariage. Par ailleurs, dans une procédure de 2008, la recourante a elle-même allégué que l'intimé s'était remarié, produisant une attestation du contrôle des habitants portant mention du mariage – intervenu le 9 mai 2001 – et a requis production du certificat de mariage ainsi que de "tous les comptes ouverts au nom de l'actuelle épouse d'V.________". On doit dès lors retenir que la recourante avait connaissance du remariage de l'intimé depuis de nombreuses années, sans que cela ne l'ait empêché de respecter la convention ratifiée par le jugement de divorce. d) On peut dès lors admettre, au stade de la mainlevée, à l'instar du premier juge, que la convention ratifiée oblige le débiteur au paiement d'une somme d'argent déterminable (ce point n'est plus contesté), correspondant à un pourcentage du revenu locatif net de l'immeuble dont la poursuivie est propriétaire, ce que la pratique suivie pendant seize ans confirme. Il importe peu à cet égard que le chiffre III de la convention soit intitulé "contribution d'entretien" et qu'il y soit mentionné une "pension mensuelle équivalant à 35,33 % du revenu de l'immeuble", ces seuls éléments n'établissant pas la thèse de la recourante d'une créance soumise à condition résolutoire. On relèvera que la recourante a plaidé elle-même, notamment dans un courrier du 24 avril 2008, que "la rétrocession de 35,33% du revenu de l'immeuble ne constituait matériellement pas une contribution d'entretien au sens du droit du divorce, mais bien l'un des éléments de l'accord global intervenu entre les époux au sujet de la propriété juridique et économique de l'immeuble de la rue [...], hors droit du divorce", se référant à  un courrier du 1 er décembre 2001, dans lequel elle déclarait que "l'esprit de cette convention est clair : s'il est évident que je suis reconnue le propriétaire juridique de l'immeuble (on ne pouvait pas vraiment faire autrement vu les dispositions que tu avais prises précédemment), il est tout aussi clair que, comme tu l'as voulu, nous nous sommes en quelque sorte partagé la propriété économique de cet immeuble, d'où les règles sur le partage du bénéfice en cas de vente, sur le droit de préemption en ta faveur, sur le passage à tes héritiers de tes droits, sur le partage du revenu net, etc". Il est vrai aussi que l'intimé a lui-même antérieurement soutenu, lorsque cela l'arrangeait, que le chiffre III de la convention fixait une contribution d'entretien, soumise à modification selon l'art. 129 CC, mais cela n'est pas décisif. Ce qu'il faut constater, c'est que le jugement dont se prévaut la recourante n'est pas clair, la clause en question ne prévoyant pas une obligation d'entretien "typique", soit le paiement d'un montant mensuel fixé d'emblée, assimilable à une rente, mais un pourcentage du revenu annuel net d'un immeuble. C'est du reste en raison de cette ambiguïté que les parties ont pu, par la suite, chacune soutenir des interprétations de la clause litigieuse contraires à celles qu'elles soutiennent actuellement. Quoi qu'il en soit, même si, pour le juge de la mainlevée, la manière dont les parties ont spontanément exécuté le titre de la mainlevée définitive pendant plus de quinze ans n'est en principe pas déterminant, il est quand même significatif, en l'espèce, que la recourante ait exécuté durablement celui-ci en connaissant l'existence du remariage. Pour le surplus, il appartiendra au juge du fond, déjà saisi d'une procédure de modification de jugement de divorce, d'interpréter la convention litigieuse. III. En conclusion, le recours, manifestement mal fondé, doit être rejeté et le prononcé confirmé. Les frais judiciaires de deuxième instance, arrêtés à 570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