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2019 / 113 vom 20. Juni 2019</w:t>
      </w:r>
    </w:p>
    <w:p>
      <w:r>
        <w:t>VD Tribunal cantonal, 2019-06-20, FR</w:t>
      </w:r>
    </w:p>
    <w:p>
      <w:r>
        <w:rPr>
          <w:b/>
        </w:rPr>
        <w:t xml:space="preserve">Quelle: </w:t>
      </w:r>
      <w:r>
        <w:t>https://mcp.opencaselaw.ch/entscheid/vd_findinfo_ML___2019___113</w:t>
      </w:r>
    </w:p>
    <w:p>
      <w:r>
        <w:t>FR: VD_FINDINFO ML / 2019 / 113 du 20 juin 2019</w:t>
      </w:r>
    </w:p>
    <w:p>
      <w:r>
        <w:t>IT: VD_FINDINFO ML / 2019 / 113 del 20 giugno 2019</w:t>
      </w:r>
    </w:p>
    <w:p>
      <w:pPr>
        <w:pStyle w:val="Heading2"/>
      </w:pPr>
      <w:r>
        <w:t>Regeste</w:t>
      </w:r>
    </w:p>
    <w:p>
      <w:r>
        <w:t>MAINLEVÉE PROVISOIRE, TITRE DE MAINLEVÉE, BAIL À LOYER, FORMULE OFFICIELLE, LOGEMENT SOCIAL, SOLIDARITÉ PASSIVE | 143 CO, 253 CO, 253b al. 3 CO, 270 al. 2 CO, 82 al. 1 LP, 82 LP</w:t>
      </w:r>
    </w:p>
    <w:p>
      <w:pPr>
        <w:pStyle w:val="Heading2"/>
      </w:pPr>
      <w:r>
        <w:t>Erwägungen</w:t>
      </w:r>
    </w:p>
    <w:p>
      <w:r>
        <w:rPr>
          <w:b/>
        </w:rPr>
        <w:t>E. 26</w:t>
      </w:r>
    </w:p>
    <w:p>
      <w:r>
        <w:t>novembre 2015/326 ; Veuillet, in Abbet/Veuillet (éd.), La mainlevée de l’opposition, n. 154 ad art. 82 LP ; Staehelin, in Basler Kommentar, SchKG I, 2 e éd., 2010, n. 114 ad art. 82 SchKG [LP]; Trümpy, La mainlevée d’opposition provisoire en droit du bail, in BlSchK 2010, pp. 105 ss, p. 106; Krauskopf, La mainlevée provisoire : quelques jurisprudences récentes, in JdT 2008 II 23 ss, p. 35; BlSchk 2006, p. 140). En signant le contrat de bail, le locataire reconnaît son obligation de payer le loyer non seulement pour la durée d'occupation de l'objet loué, mais pour toute la durée contractuelle (ATF 134 III 267 consid. 3, JdT 2008 II 77, Veuillet, op. cit., n. 163 ad art. 82 LP). bb) En vertu de l’art. 270 al. 2 CO, en cas de pénurie de logements, les cantons peuvent rendre obligatoire, sur tout ou partie de leur territoire, l’usage de la formule officielle mentionnée à l’art. 269d CO pour la conclusion de tout nouveau bail. Le canton de Fribourg, où sont sis les objets loués, a fait usage de cette faculté pour les baux d’habitation sis dans le canton (art. 27 LABLF [loi du 9 mai 1996 d’application relative au bail à loyer et au bail à ferme son agricole ; RSF 22.3.1] et a rendu obligatoire cette formule par ordonnance du 26 novembre 2012 concernant l’usage de la formule officielle pour la conclusion d’un nouveau bail à loyer (ROF 2012) entrée en vigueur le 1 er janvier 2003. Selon la jurisprudence, lorsque le bailleur ne fait pas usage, lors de la conclusion du bail, de la formule officielle prescrite par l’art. 270 CO, sa non utilisation entraîne la nullité partielle du contrat de bail, sous l’angle de la fixation du montant du loyer, ce qui doit être constaté d’office (ATF 140 III 583 consid. 3.2.1 et 3.2.2 et références ; ATF 124 III 62 consid. 2a, rés. in JT 1998 I 612; ATF 120 II 341 consid. 5d, rés. in JdT 1995 I 382). Il appartient alors au juge du fond de déterminer le loyer initial en se fondant sur toutes les circonstances du cas, notamment sur le rendement admissible (art. 269 CO), les loyers pratiqués dans le quartier (art. 269a CO), et le loyer payé par le précédent locataire (ATF 124 III 62 précité consid. 2b, rés. in JT 1998 I 612 ; TF 4A_198/2014 du 17 juillet 2014 consid. 4.1 ; TF 4A_129/2008 du 10 juin 2008 consid. 2.3 ; Lachat/Stastny, in Lachat/Grobet Thorens/Rubli/Stastny, Le bail à loyer, éd. 2019, pp. 496-497 ; Fetter, La contestation du loyer initial, étude de l’article 270 CO, thèse Berne 2005, pp. 250 ss). En revanche, il n’entre pas dans les compétences du juge de la mainlevée de procéder à une telle appréciation. Ainsi, selon une jurisprudence maintenant bien établie, approuvée par la doctrine, la cour de céans a considéré que le contrat de bail ne valait pas à lui seul titre de mainlevée, lorsque l’usage de la formule officielle était nécessaire (Veuillet, op. cit., n. 162 ad art. 82 LP ; Hack, Formalisme et durée : quelques développements récents du droit du bail, in JdT 2007 II 4 ss, spéc. p. 5; CPF 8 mai 2017/95 ; CPF, 2 avril 2014/125 ; CPF 27 septembre 2011/404 ; CPF, 5 février 2009/32; CPF 18 septembre 2008/440; CPF 15 novembre 2007/422; CPF 22 mars 2007/163; CPF 29 juin 2006/314). Toutefois, les dispositions relatives à la protection contre les loyers abusifs ne s’appliquent pas aux logements construits au bénéfice de mesures d’encouragement de la part des pouvoirs publics et dont les loyers sont soumis au contrôle d’une autorité (art. 253b al. 3 CO). Seuls les art. 269, 269d al. 3 et 270e CO s’appliquent aux contrats relatifs à des logements subventionnés (art. 2 al. 2 OBLF [ordonnance du 9 mai 1990 sur le bail à loyer et le bail à ferme d’habitation et de locaux commerciaux, RS 221.213.11]) . La contestation du loyer initial prévu par l’art. 270 CO est dès lors exclue, puisque le contrôle du loyer initial est assuré par l’autorité administrative (Fetter, op. cit., p. 40, n. 81 et les références citées aux notes infrapaginales nn. 193 et 194; Lachat/Stastny, op. cit., p. 471). Deux conditions cumulatives doivent être remplies pour admettre que le logement est subventionné : la construction, la rénovation ou l’acquisition du logement doit en premier lieu avoir été entreprise avec un appui financier de la Confédération, d’un canton ou d’une commune, une aide sociale personnalisée accordée au locataire n’étant pas considérée comme une mesure d’encouragement à la construction et, d’autre part, les loyers de ces logements doivent être soumis au contrôle d’une autorité administrative indépendante du bailleur (Fetter, op. cit., pp. 39-40, n. 80; Lachat, in Le bail à loyer précité, pp. 137-138 ; Conod, L’article 253b al. 3 CO et la protection des locataires contre les loyers abusifs dans les logements subventionnés, in CdB 1998, pp. 33 ss). Dans de tels cas, l'art. 270 al. 2 CO n'est pas applicable, et le bail vaut à lui seul titre de mainlevée (CPF 8 septembre 2011/373 ; CPF 2 septembre 2010/328 ; CPF 7 mai 2009/146). La loi fédérale du 4 octobre 1974 encourageant la construction et l'accession à la propriété de logements (LCAP ; RS 843) prévoit diverses mesures par lesquelles la Confédération atteint ce but d’ « encouragement », parmi lesquelles des mesures spéciales destinées à abaisser les loyers (art. 35 ss). Ces loyers abaissés grâce à ces mesures sont soumis à une surveillance officielle au minimum pendant 25 ans (art. 45). Dans un arrêt n° 328 du 2 septembre 2010, la cour de céans a admis qu’un contrat qui précisait que le bail était régi par « les dispositions légales LCAP du 11.04.1996 (en annexe) plus communément appelées aides fédérales (...) » et que « les locataires prennent connaissance des informations sur les logements LCAP » était suffisant pour retenir qu’il s’agissait d’un logement subventionné et donc valait seul titre à la mainlevée. Dans un arrêt n° 146 du 7 mai 2009, la cour de céans a fait de même pour un contrat qui prévoyait qu’il s’agissait d’un logement subventionné. cc) Conformément à l’art. 143 CO, la solidarité passive ne se présume pas; elle n’existe qu’en vertu de la loi ou de la convention des parties. Lorsque plusieurs personnes s'engagent ensemble et déclarent s'obliger de manière qu'à l'égard du créancier, chacune d'elles pourra être recherchée pour le tout, elles souscrivent un engagement solidaire (art. 143 al. 1 CO). Le seul fait qu'un engagement ait été pris en commun ne fait toutefois pas présumer de la solidarité, mais une manifestation tacite de la volonté de s'obliger solidairement suffit (ATF 116 II 707 consid. 3 ; ATF 49 III 205, JT 1925 II 18; TF 4A_461/2018 du 20 mars 2019 consid. 4.2 ; TF 4C.342/2004 du 16 décembre 2004 c. 3 et les références citées). En matière de contrat de bail, il est de manière générale admis que des colocataires sont des codébiteurs solidaires, de sorte que le bailleur peut réclamer la totalité du loyer à chacun des colocataires (CPF 12 mars 2015/79 ; CPF 12 septembre 2014/318; CPF 2 avril 2014/124; Lachat, in Le bail à loyer précité, p. 100 ; Veuillet, op. cit., n. 161 ad art. 82 LP et références ; Krauskopf, op. cit., spéc. p. 36). b)aa) En l’espèce, l’intimé et R.________ ont signé, en tant que locataires, un bail du 21 janvier 2016 par lequel la recourante, représentée par la P.________, leur a remis en location un appartement de quatre pièces au premier étage de l’immeuble sis [...] 63 à [...] pour un loyer mensuel de 2'053 fr., acompte de frais accessoires, par 370 fr. compris. Conclu pour durer initialement du 1 er février 2016 au 31 mars 2017, le bail devait se renouveler tacitement d’année en année, sauf avis de résiliation donné quatre mois à l’avance. Le contrat comporte sous la rubrique « Bases de calcul » la mention « Le loyer est soumis à la LCAP ». Cette mention apparaît suffisante, au regard des arrêts CPF 2 septembre 2010/328 et 7 mai 2009/146 susmentionnés, pour retenir que l’appartement en cause était un logement en faveur duquel des mesures d’encouragement avaient été prises par les pouvoirs publics et dont le loyer était soumis au contrôle d’une autorité au sens de l’art. 253b al. 3 CO. L’intimé, qui a été invité à se déterminer, ne l’a d’ailleurs pas contesté. Le contrat du 21 décembre 2016 ne devait donc pas être accompagné de la formule officielle de l’art. 270 al. 2 CO et constitue donc un titre à la mainlevée provisoire pour le loyer et les acomptes de frais accessoires qu’il mentionne. bb) Par courrier du 30 mars 2017, l’intimé et R.________ ont résilié le bail en cause avec effet au 30 juin 2017, échéance que la P.________ a admise pour l’ensemble des relations contractuelles par courrier du 3 avril 2017. Le 6 juillet 2017, la P.________ a établi un état des lieux et une convention de sortie, faisant état d’un solde en sa faveur de 10'652 fr., dont 8'392 fr. d’arriéré de loyer. Cette convention pas plus que l’état des lieux de sortie ne valent cependant reconnaissance de dette au sens de l’art. 82 LP, dès lors qu’ils n’ont pas été signés par l’intimé. Le 28 août 2017, la P.________ a adressé à l’intimé et à R.________ une facture de 9'930 fr. 80, dont 7'877 fr. 25 d’arriérés de loyer. Selon les extraits de comptes produits en première instance, cette dernière créance comprenait l’arriéré de loyer de l’appartement, par 7'157 fr. 25, celui de la place de parc intérieure, par 400 fr. et celui des places de parc extérieures, par 160 fr. pour chacune. Le premier juge a accordé la mainlevée pour les arriérés de loyer des places de parc, par 720 francs. cc) Dans le commandement de payer qui a été notifié le 20 novembre 2018, la recourante réclame un montant de 7'877 fr. 25 pour des « Loyers selon bail à loyer », sans décrire de quels contrats de bail il s’agit, ni la ou les période(s) de loyer en cause. En première instance, elle a réclamé 7'157 fr. 25 pour les loyers de l’appartement. En deuxième instance, elle ne réclame plus à ce titre que 6'732 fr. pour les loyers de février, mars, mai et juin 2017, sans l’acompte prévu pour les frais accessoires (= [2053 – 370] x 4). Même si le commandement de payer, s’agissant du poste litigieux qui concerne des prestations périodiques, n’indique pas avec toute la précision qu’on aurait pu attendre (cf. TF 5A_975/2015 du 1 er avril 2015 consid. 5a et les réf. cit.) les périodes en cause, il faut déduire de ce qui précède qu’il s’agit des loyers de l’appartement de février à juin 2017, sans celui d’avril, qui a été acquitté. L’extrait de compte du 11 juillet 2018 relatif à l’appartement en cause, produit par la recourante en première instance, est libellé comme il suit : « Valeur Libellé              Débit Crédit              Solde 31.12.2016 18'671.00              18'402.00 269.00 01.01.2017              Facturation loyer 01.2017              2'053.00 2'322.00 24.01.2017              Transfert objet 6'699.00 4'377.00- 24.01.2017              Transfert rubrique ? 307.00- 4'070.00- 01.02.2017              Facturation loyer 02.2017              2'053.00 2'017.00- 01.03.2017              Facturation loyer 03.2017              2'053.00 36.00 01.04.2017              Facturation loyer 04.2017              2'053.00 2'089.00 05.04.2017              Encaissement du 05.04.2017 2'053.00 36.00 01.05.2017              Facturation loyer 05.2017              2'053.00 2'089.00 01.06.2017              Facturation loyer 06.2017              2'053.00 4'142.00 27.07.2017              Facturation coût saison 2016 3'015.25 7'157.25 » ; Cet extrait permet de constater en effet que, de février à juin 2017, cinq loyers étaient échus et qu’un seul a été payé le 5 avril 2017. Il permet également de constater qu’à la date du 5 avril 2017, seuls 36 fr. restaient impayés, selon le propre décompte de la recourante, qui lui est opposable. Si le solde final après le mois de juin 2017 dépassait quatre loyers, c’est parce que l’extrait de compte comporte un débit, le 27 juillet 2017, de 3'015 fr. 25 pour « facturation coût saison 2016 ». Or, on ignore ce que recouvre ce poste « Facturation coût saison 2016 » et même s’il s’agissait du solde du décompte des frais accessoires, ce montant ne serait pas couvert par la mainlevée résultant du contrat de bail du 21 janvier 2016, faute d’une reconnaissance de dette signée par l’intimé portant sur ce montant (cf. CPF 24 mars 2017/57). Il n’y dès lors pas lieu d’en tenir compte. Le poste du 24 janvier 2017 de 6'699 fr. intitulé « Transfert objet » correspond à un encaissement du même montant du 23 janvier 2017 comptabilisé sur l’extrait de compte du 11 juillet 2018 relatif à une place de parc extérieure et transféré le 24 janvier 2017 sur le compte de l’appartement. Il ressort donc de ce qui précède que les loyers de janvier à avril 2017 étaient couverts par les encaissements à l’exception d’un montant de 36 francs. Seuls demeurent impayés les loyers de l’appartement de mai et juin 2017. La recourante ne réclame en deuxième instance que les loyers nets, sans les acomptes de frais accessoires, soit 1'683 fr. par mois. La mainlevée provisoire doit ainsi porter sur la somme de 3'402 fr. (36 + 1'683 + 1'683), montant auquel s’ajoutent les 720 fr. déjà alloués par le premier juge, le tout sans intérêt, faute de conclusion de la recourante en ce sens. L’intimé étant cosignataire du bail en tant que locataire, il était solidairement responsable au sens de l’art. 143 CO du paiement de ce montant. III. En conclusion, le recours doit être admis partiellement et le prononcé réformé en ce sens que la mainlevée provisoire de l’opposition est accordée à concurrence de 4'122 fr. (3'402 + 720) sans intérêt. En première instance, la recourante a conclu à l’octroi de la mainlevée à concurrence de 10'030 fr. 80. Elle obtient au final 4'122 fr., soit quelques 40 % de ses prétentions. Les frais judiciaires de première instance, arrêtés à 360 fr. doivent en conséquence être mis à sa charge à raison des 60 %, par 216 fr., et à raison des 40 % à la charge de l’intimé, par 144 fr. (art. 106 al. 2 CPC), celui-ci devant rembourser à celle-là la somme de 144 fr. à titre de restitution partielle d’avance de frais de première instance. Il n’y a pas lieu d’allouer de dépens de première instance, la recourante n’en ayant pas requis. En deuxième instance, la recourante a conclu à l’octroi de la mainlevée sur un montant de 6'732 fr. et a obtenu gain de cause à hauteur de 3'402 fr., soit à raison des 50 % environ. Les frais judiciaires de deuxième instance, arrêtés à 405 fr. doivent en conséquence être répartis par moitié à la charge de chacune des parties (art. 106 al. 2 CPC), l’intimé devant rembourser à la recourante la somme de 202 fr. 50 à titre de restitution partielle d’avance de frais de deuxième instance. Il n’y a pas lieu d’allouer de dépens de deuxième instance, la recourante n’en ayant pas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