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17 vom 14. März 2018</w:t>
      </w:r>
    </w:p>
    <w:p>
      <w:r>
        <w:t>VD Tribunal cantonal, 2018-03-14, FR</w:t>
      </w:r>
    </w:p>
    <w:p>
      <w:r>
        <w:rPr>
          <w:b/>
        </w:rPr>
        <w:t xml:space="preserve">Quelle: </w:t>
      </w:r>
      <w:r>
        <w:t>https://mcp.opencaselaw.ch/entscheid/vd_findinfo_ML___2018___17</w:t>
      </w:r>
    </w:p>
    <w:p>
      <w:r>
        <w:t>FR: VD_FINDINFO ML / 2018 / 17 du 14 mars 2018</w:t>
      </w:r>
    </w:p>
    <w:p>
      <w:r>
        <w:t>IT: VD_FINDINFO ML / 2018 / 17 del 14 marzo 2018</w:t>
      </w:r>
    </w:p>
    <w:p>
      <w:pPr>
        <w:pStyle w:val="Heading2"/>
      </w:pPr>
      <w:r>
        <w:t>Regeste</w:t>
      </w:r>
    </w:p>
    <w:p>
      <w:r>
        <w:t>MAINLEVÉE PROVISOIRE, TITRE DE MAINLEVÉE, RECONNAISSANCE DE DETTE, COMPENSATION DE CRÉANCES | 82 al. 1 LP, 82 LP</w:t>
      </w:r>
    </w:p>
    <w:p>
      <w:pPr>
        <w:pStyle w:val="Heading2"/>
      </w:pPr>
      <w:r>
        <w:t>Erwägungen</w:t>
      </w:r>
    </w:p>
    <w:p>
      <w:r>
        <w:rPr>
          <w:b/>
        </w:rPr>
        <w:t>E. 2</w:t>
      </w:r>
    </w:p>
    <w:p>
      <w:r>
        <w:t>CPC est recevable également. En revanche, à l’exception de la facture du 31 juillet 2011, qui figure déjà au dossier de première instance, les deux autres pièces produites par l’intimé sont nouvelles et, partant irrecevable, vu la prohibition des preuves nouvelles prévue à l’art. 326 al. 1 CPC. II. a) Selon l'art. 82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art. 82 al. 2 LP). Constitue une reconnaissance de dette l'acte d'où résulte la volonté du poursuivi de payer au poursuivant, sans réserve ni condition, une somme d'argent déterminée, ou aisément déterminable, et échue (ATF 139 III 297 consid. 2.3.1, SJ 2013 I 393; ATF 136 III 624 consid. 4.2.2; ATF 132 III 480 consid. 4.1, JdT 2007 II 75; Veuillet, in Abbet/Veuillet (éd.), La mainlevée de l’opposition, n. 32 ad art. 82 LP ;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(Veuillet, op. cit., n. 27 ad art. 82 LP ;Gilliéron, op. cit., n. 42 ad art. 82 LP). La doctrine et la jurisprudence ont posé que celui qui déclare qu’une créance est éteinte par compensation ne reconnaît pas la dette, mais au contraire fait valoir que celle-ci n’existe plus, et que par conséquent une telle déclaration ne peut valoir titre à la mainlevée provisoire (Staehelin in Staehelin/Bauer/Staehelin (éd.), Basler Kommentar, vol. I, 2 e éd., n. 38 ad art. 82 LP et les références citées). b) En l’espèce, la poursuivante a produit un contrat du 13 mars 2011 portant sur la  livraison et le montage d’un kit piscine pour un montant de 83'350 fr., qui n’est cependant pas signé par le poursuivi et ne vaut pas titre de mainlevée. La poursuivante a produit un courrier du poursuivi à la poursuivante du 19 novembre 2011, qui se présente comme suit : « commande du 13 mars 2011 83'350.- [...] montant versé directement selon devis annexe 23'300.- Acompte payé à la commande 40'000.- M.________ GmbH 6'000.- Solde : 14'050.- Matériel non fourni ou non conforme pompe 1'115.- Vanne multis voies 1'400.- Securiver 1'985.- Solde en votre faveur 9'550.- Montant dû par la société H.________ SA à M. A.W.________ selon lettre ci-jointe 12'640.- Solde en ma faveur 3'090.- Veuillez me verser cette somme dans les 5 jours faute de quoi je vous mettrais en poursuite. » La lettre à laquelle il était fait allusion, daté également du 19 novembre 2011, avait la teneur suivante : « Malgré mes divers appels téléphoniques afin de régler tous les problèmes concernant la piscine, suite à la défectuosité des appareils (Zodiac pro, électrolyseur à sel, Back wash automatique) et suite à l’inondation dont les dégâts sont de plus de 30'000.- dû à une erreur lors de la pose du local technique sont restés sans suite à ce jour. L’inondation a eu pour répercussion une baisse du niveau d’eau. La bâche a donc endommagé le liner, ce que j’ai également immédiatement signalé et vous l’avez reconnu sur le moment. Nous vous rappelons que l’échangeur de chaleur que vous m’avez vendu et conseillé est illégal. La pompe qui fait partie intégrante du contrat n’a pas été fournie, mais j’ai constaté après coup que la pompe fournie est d’un prix inférieur et je vous l’ai signalé. Par votre incompétence, j’ai dû faire venir le monteur de chez M.________ GmbH pour la somme de 800.- Pour vous rafraîchir la mémoire. Il reste un solde impayé chez M.________ GmbH dont nous avons dû donner un dépôt de 6'000 fr. afin que les travaux de la piscine puissent être enfin terminé. Le contrat n’a donc pas été respecté ! Je ne paierai pas le solde de la facture tant que je n’ai pas eu de nouvelles par rapport aux dégâts de l’inondation que nous avons eu par une faute professionnelle. D’autant plus que le montant total de la facture ne correspond pas au contrat du 13 mars 2011 de 83'350.- Quelques exemples de facturation. Vous me facturez une douche que nous n’avons jamais commandée. Vous me facturez la bâche d’hiver que nous n’avons jamais reçu et ne désirons plus. Vous facturez le régulateur de niveau d’eau alors que vous aviez pas encore effectuer (sic) le trop plein et lors de l’inondation par une faute que vous avez commise. Je vous paierai le solde de la facture lorsque vous m’aurez payé le montant d’un total de 12'640.- (1'000.- de nettoyage , 1'490 .- de peinture, 750,- de joints, 3'200.- portes et cadres de portes et bien sûre le liner de 6'200.-). » Le poursuivi a en outre produit des photos, montrant des dégâts au store de la piscine. Contrairement à ce que soutient la recourante, le décompte du 19 novembre 2011 ne vaut pas non plus titre de mainlevée, car l’intimé n’y admet pas devoir sans réserve ni condition une somme d’argent déterminée et échue. Au contraire, l’intimé fait valoir que c’est la recourante qui lui devrait un montant. Ce document doit en outre se lire avec le courrier du même jour dans lequel l’intimé déclare expressément qu’il ne paiera le solde dû que lorsque la société lui aura payé le montant invoqué en compensation. Les deux déclarations étaient donc pour lui indissociablement liées, ce que la recourante ne pouvait de bonne foi ne pas comprendre (TF 4A_757/2011 du 3 avril 2012 consid. 2.3) La recourante n’a par ailleurs pas rapporté la preuve littérale que les conditions ou réserves seraient devenues sans objet. Faute de reconnaissance de dette valant titre de mainlevée provisoire, le recours ne peut être que rejeté. Les moyens de la recourante, qui fait valoir que l’intimé n’aurait pas rendu vraisemblable ses moyens libératoires, en particulier les dégâts invoqués, n’auraient dû être examinés qu’en présence d’un titre de mainlevée, ce qui n’est pas le cas en l’espèce. III. En conclusion, le recours doit être rejeté et le prononcé confirmé. Vu le rejet du recours, les frais judiciaires de deuxième instance, arrêtés à 570 fr. doivent être mis à la charge de la recourante (art. 106 al. 1 CPC). Il n’y a pas lieu d’allouer de dépens de deuxième instance, l’intimé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