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122 vom 10. August 2018</w:t>
      </w:r>
    </w:p>
    <w:p>
      <w:r>
        <w:t>VD Tribunal cantonal, 2018-08-10, FR</w:t>
      </w:r>
    </w:p>
    <w:p>
      <w:r>
        <w:rPr>
          <w:b/>
        </w:rPr>
        <w:t xml:space="preserve">Quelle: </w:t>
      </w:r>
      <w:r>
        <w:t>https://mcp.opencaselaw.ch/entscheid/vd_findinfo_ML___2018___122</w:t>
      </w:r>
    </w:p>
    <w:p>
      <w:r>
        <w:t>FR: VD_FINDINFO ML / 2018 / 122 du 10 août 2018</w:t>
      </w:r>
    </w:p>
    <w:p>
      <w:r>
        <w:t>IT: VD_FINDINFO ML / 2018 / 122 del 10 agosto 2018</w:t>
      </w:r>
    </w:p>
    <w:p>
      <w:pPr>
        <w:pStyle w:val="Heading2"/>
      </w:pPr>
      <w:r>
        <w:t>Regeste</w:t>
      </w:r>
    </w:p>
    <w:p>
      <w:r>
        <w:t>DÉCISION DE TAXATION, MAINLEVÉE DÉFINITIVE, TITRE DE MAINLEVÉE, EXIGIBILITÉ, NOTIFICATION IRRÉGULIÈRE, DÉCISION EXÉCUTOIRE, IMPÔT FÉDÉRAL DIRECT | 162 al. 1 LIFD, 80 al. 2 ch. 2 LP</w:t>
      </w:r>
    </w:p>
    <w:p>
      <w:pPr>
        <w:pStyle w:val="Heading2"/>
      </w:pPr>
      <w:r>
        <w:t>Erwägungen</w:t>
      </w:r>
    </w:p>
    <w:p>
      <w:r>
        <w:rPr>
          <w:b/>
        </w:rPr>
        <w:t>E. 46</w:t>
      </w:r>
    </w:p>
    <w:p>
      <w:r>
        <w:t>; CPF, in JdT 1995 II 31 ; Peter, Edition annotée de la LP, pp. 211-212 ; Staehelin, in Staehelin/Bauer/Staehelin (éd.), Basler Kommentar, Bundesgesetz über Schuldbetreibung und Konkurs I, 2 e éd. 2010, n. 60 ad art. 84 SchKG [LP] et les références citées). L'art. 56 LP fait en outre obstacle, en matière de poursuite et durant les féries, à l'application de la fiction de notification à l'échéance du délai de garde de sept jours prévue par l'art. 138 al. 3 let. a CPC. Si un prononcé de mainlevée est notifié pendant le temps prohibé des féries, la notification ne prend effet que le premier jour utile qui suit la fin des féries et le délai de recours de dix jours commence à courir dès le lendemain, pour autant que la remise du pli contenant le jugement ait effectivement eu lieu (CPF 11 juin 2015/161). b) En l'espèce, les motifs du prononcé ont été adressés aux parties le 16 mars 2018. Le recourant a été informé de l’arrivée du pli et du délai de retrait le 19 mars 2018. Contrairement à ce que soutient l'intimée, le prononcé n'est pas réputé avoir été notifié au recourant à ce moment, mais uniquement le 26 mars 2018, date à laquelle le recourant a effectivement retiré son pli au guichet postal, dans le délai de garde. Compte tenu des féries de Pâques qui ont eu lieu cette année du 25 mars au 8 avril, cette notification n'a toutefois pris effet que le 9 avril 2018 et le délai de recours de dix jours, qui n'a commencé à courir que le lendemain, est arrivé à échéance le 19 avril 2018. Le recours, déposé la veille de cette échéance, a donc été formé en temps utile. Ecrit et motivé, il est ainsi recevable. II. Le recourant conteste avoir reçu les décisions invoquées comme titres de mainlevée. a) Le créancier qui est au bénéfice d'un jugement exécutoire peut requérir du juge la mainlevée définitive de l'opposition (art. 80 al. 1 LP).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 er mai 2002 ; Staehelin, op. cit. , n. 120 ad art. 80 LP ; Panchaud/ Caprez, La mainlevée d'opposition, § 122). La loi fédérale sur l’impôt fédéral direct (LIFD ; RS 642.11), en vertu de laquelle la Confédération perçoit notamment un impôt sur le revenu des personnes physiques (art. 1 let. a LIFD), prévoit à son art. 165 al. 3 que dans la procédure de poursuite, les décisions et prononcés de taxation rendus par les autorités chargées de l'application de la loi, qui sont entrés en force, produisent les mêmes effets qu'un jugement exécutoire. En règle générale, une décision devient exécutoire au moment où elle entre en force de chose jugée formelle ( formelle Rechtskraft ),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136 V 295 consid. 5.9 ;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l'intimée se prévaut, comme titres de mainlevée définitive, d'une décision de taxation définitive et prononcé d'amende ainsi que d'un décompte final datés du 17 novembre 2016 que le recourant dit ne pas avoir reçus. Ces décisions lui ont été envoyées sous pli simple. L'intimée n'a donc pas pu produire de documents attestant qu'elles avaient bien été notifiées au recourant. Celui-ci conteste aussi avoir reçu le rappel avant poursuite qui lui a été adressé le 10 janvier 2017 sous pli simple également. On ne peut donc rien déduire de son absence de protestation suite à cet envoi. Enfin, la preuve de la notification ne peut pas non plus se déduire de l'attitude du recourant en procédure dans la mesure où il a, en première instance déjà, fait valoir qu'il n'avait pas reçu les décisions en cause. On peut certes considérer, comme l’a fait le premier juge, que le recourant est globalement peu crédible dans la mesure où il conteste, en bloc, la réception de tous les plis simples qui lui ont été adressés par l'intimée. Ce constat ne suffit toutefois pas pour retenir, même au degré de la vraisemblance prépondérante, que la décision de taxation et le décompte final du 17 novembre 2016 lui sont bien parvenus. On doit donc considérer que la preuve de la notification régulière des décisions invoquées comme titres de mainlevée n’a pas été établie. III. L'intimée soutient que le comportement du recourant serait contraire au principe de la bonne foi et que les décisions du 17 novembre 2016 seraient devenues exécutoires en raison de la passivité du recourant. a) D’emblée, on doit opposer à l’argument de l’intimée celui de l’inexigibilité de la créance. En effet, s’il n'est pas nécessaire que la décision invoquée comme titre de mainlevée définitive soit exécutoire lors de l'introduction de la poursuite, mais seulement lors du prononcé de mainlevée (Staehelin, op. cit. , n. 112 ad art. 80 LP ; Abbet, in Abbet/Veuillet, La mainlevée de l'opposition, n. 143 ad art. 80 LP), la créance doit néanmoins en tout état de cause être exigible lors de la notification du commandement de payer (Abbet, loc. cit. ). Selon l’art. 162 al. 1 LIFD, l’impôt est perçu sur la base d’une décision de taxation ou, à défaut, d’un calcul provisoire. Il découle de cette disposition qu’une dette d’impôt, indépendamment de son échéance (art. 161 LIFD), ne peut pas être exigible avant la notification de la décision ou, à tout le moins, du bordereau dont elle est l’objet. Les décisions qui n'ont pas été communiquées à la personne concernée ne déploient en principe aucun effet juridique (ATF 141 III 97 consid. 7.1). b) En l’espèce, le décompte final du 17 novembre 2016 fixait un délai de paiement de l’impôt au 21 décembre 2016. Toutefois, comme on l’a vu, la preuve de la notification de cette décision au recourant avant la notification commandement de payer, intervenue le 7 août 2017, n'a pas été établie ; on doit dès lors considérer qu’elle ne déployait aucun effet juridique à cette date, faute d'avoir été communiquée. En d'autres termes, l’impôt fédéral direct de 646 fr. 45 n'était pas encore exigible au moment de la notification du commandement de payer. Cela entraîne l’admission du recours et la réforme du prononcé attaqué en ce sens que l’opposition à la poursuite en cause est maintenue. c) L’intimée aura toutefois la faculté de requérir une nouvelle poursuite sans devoir notifier à nouveau les décisions en cause, qui sont effectivement désormais exécutoires en vertu du principe de la bonne foi, comme elle s’en prévaut. aa) Les décisions qui n'ont pas été communiquées à la personne concernée ne déploient en principe aucun effet juridique (ATF 141 III 97 consid. 7.1). Toutefois,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 er septembre 2016 consid. 2.2 ; TF 9C_202/2014 du 11 juillet 2014 consid. 4.2). Attendre passivement serait en effet contraire au principe de la bonne foi (TF 9C_202/2014 du 11 juillet 2014 consid. 4.2 et les références citées). Contrevient évidemment à la bonne foi celui qui omet de se renseigner pendant plusieurs années (ATF 107 la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bb) En l'espèce, le commandement de payer qui a été notifié au recourant le 7 août 2017 mentionnait expressément, comme titres de la créance, la décision de taxation et le décompte final du 17 novembre 2016. À partir de ce moment-là, le recourant ne pouvait plus prétendre ignorer que des décisions le concernant avaient été rendues par l'autorité fiscale. Il devait dès lors agir, soit à tout le moins, s'il prétendait ne pas avoir reçu les décisions en cause, exiger de l'intimée qu'il les lui notifie à nouveau. Or, il n’en a rien fait. Son inaction était encore moins concevable après le 27 octobre 2017, date à laquelle il a reçu l'avis du juge de paix lui impartissant un délai pour se déterminer sur la requête de mainlevée. Il résulte en effet des déterminations qu'il a déposées le 20 novembre 2017 - dans lesquelles il fait expressément référence aux pièces produites par l'intimée en procédure et admet avoir eu connaissance des décisions en cause « par voie de poursuite » - que les décisions du 17 novembre 2016 étaient jointes à la requête de mainlevée qui lui a été transmise par le juge.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Par conséquent, au vu des principes rappelés plus haut, il y a lieu de considérer que la créance est désormais exigible et que les décisions en cause sont à ce jour exécutoires. IV. Vu l’admission du recours et la réforme du prononcé attaqué, les frais des deux instances doivent être répartis comme il suit : pour la première instance, les frais judiciaires, arrêtés à 120 fr., doivent être mis à la charge de la poursuivante (art. 106 al. 1 CPC), qui en a déjà fait l’avance, et il n’y a pas lieu d’allouer des dépens au poursuivi qui a procédé seul ; pour la deuxième instance, les frais judiciaires, arrêtés à 180 fr., doivent être mis à la charge de l’intimée et le recourant, qui a été dispensé de l’avance des frais, n’a évidemment pas droit au remboursement de cette avance, pas plus qu’à l’allocation de dépens puisqu’il a également procédé seul devant la cour de céans. Sa requête d’assistance judiciaire est ainsi rendue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