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61 vom 19. April 2017</w:t>
      </w:r>
    </w:p>
    <w:p>
      <w:r>
        <w:t>VD Tribunal cantonal, 2017-04-19, FR</w:t>
      </w:r>
    </w:p>
    <w:p>
      <w:r>
        <w:rPr>
          <w:b/>
        </w:rPr>
        <w:t xml:space="preserve">Quelle: </w:t>
      </w:r>
      <w:r>
        <w:t>https://mcp.opencaselaw.ch/entscheid/vd_findinfo_ML___2017___61</w:t>
      </w:r>
    </w:p>
    <w:p>
      <w:r>
        <w:t>FR: VD_FINDINFO ML / 2017 / 61 du 19 avril 2017</w:t>
      </w:r>
    </w:p>
    <w:p>
      <w:r>
        <w:t>IT: VD_FINDINFO ML / 2017 / 61 del 19 aprile 2017</w:t>
      </w:r>
    </w:p>
    <w:p>
      <w:pPr>
        <w:pStyle w:val="Heading2"/>
      </w:pPr>
      <w:r>
        <w:t>Regeste</w:t>
      </w:r>
    </w:p>
    <w:p>
      <w:r>
        <w:t>MAINLEVÉE PROVISOIRE, TITRE DE MAINLEVÉE, TRANSFERT DES ACTIONS | 82 al. 1 LP, 82 LP</w:t>
      </w:r>
    </w:p>
    <w:p>
      <w:pPr>
        <w:pStyle w:val="Heading2"/>
      </w:pPr>
      <w:r>
        <w:t>Erwägungen</w:t>
      </w:r>
    </w:p>
    <w:p>
      <w:r>
        <w:rPr>
          <w:b/>
        </w:rPr>
        <w:t>E. 2</w:t>
      </w:r>
    </w:p>
    <w:p>
      <w:r>
        <w:t>et les réf. cit. ; CPF du 27 novembre 2015/327 ; CPF du 22 octobre 2013/421 ; Gilliéron, op. cit., n. 46 ad art. 82; Panchaud/Caprez, op. cit., § 71). b) En l'espèce, le recourant fait valoir que le premier juge a omis de tenir compte des conditions auxquelles la convention du 19 octobre 2012 était soumise ; d’après lui, l’acte de vente des actions était en effet expressément soumis à deux conditions : (i) que lui-même soit parvenu à réaliser la vente de sa maison de [...] et (ii) qu’il verse le montant de 28'000 fr. dans les six mois dès la signature de la convention ; la première condition serait suspensive (art. 151 CO), et la seconde résolutoire (art. 154 CO); il en déduit que la convention est devenue caduque le 20 avril 2013 ; le fait que l’intimée lui ait réclamé le remboursement du prêt initial d’un montant de 50'000 fr. postérieurement à cette date serait la preuve que son cocontractant avait aussi considéré que l’acte en cause était caduc. Il fait également valoir que le premier juge a mal interprété la convention en faisant mention du non-retour à meilleur fortune ; lui-même n’a pas fait l’objet d’une saisie dans la présente cause, ni d’un acte de défaut de biens. Dans la mesure où il a fait valoir un moyen libératoire (la caducité du titre invoqué), le recourant en déduit que le premier juge a constaté faussement les faits et violé les art. 151 et 154 CO ainsi que l’art. 82 al. 2 LP. Pour sa part, et en substance, l’intimée conteste que le premier juge ait constaté inexactement les faits ou violé l’art. 82 LP ; elle fait sienne l’interprétation de la convention faite dans le prononcé attaqué. c) La poursuivante se fonde sur une « Convention d’achats d’actions » du 19 octobre 2012, signée par le poursuivi. Par cette convention, les deux parties ont conclu un contrat de vente portant sur des actions nominatives d'une société anonyme. Conformément à ce qui a été rappelé plus haut, d’après la jurisprudence, le contrat de vente signé vaut reconnaissance de dette pour le prix de vente échu pour autant que le vendeur ait livré la chose vendue ou l'ait consignée lorsque le prix était payable d'avance ou au comptant. L’action nominative, qu’elle soit ordinaire ou liée, n’est pas une chose mobilière mais un titre à ordre (ATF 92 III 20, spéc. 25; Chaudet/Cherpillod/Landrove, Droit suisse des affaires, 3 e éd., 2010, n° 408, p. 86). Elle est transférable par endossement ou par une déclaration écrite analogue, sauf si cette dernière modalité est exclue par les statuts ; en toute hypothèse, la remise de l’action est également nécessaire (ATF 90 II 164, spéc. 179 ; ATF 86 II 95 spéc. 99 ; Lombardini, in Tercier/Amstutz (éd.), in Commentaire romand CO II, n. 9 à 11 ad art. 622 CO). En l’occurrence, il ressort de l’article 3 du contrat que le transfert des actions nominatives et le paiement du prix de ces actions devaient avoir lieu simultanément. Or, s’il est admis par le poursuivi qu’il ne s’est pas acquitté du prix de vente, il ne ressort pas du dossier que, à la date de la réquisition de poursuite, ou même auparavant, la poursuivante ait consigné les actions vendues si elles ont été émises individuellement (ce qui paraît être le cas puisque le chiffre 4 de la convention mentionne leur endossement par le conseil d’administration), ou à tout le moins qu’elle ait consigné les certificats d’actions regroupant les actions concernées, puisqu’il ressort du dossier que de tels certificats ont été émis et que leur statut juridique est similaire à celui des actions (Lombardini, op. cit., n. 20 ad art. 622 CO ; Baudenbacher, in Honsell/Vogt/Watter (éd.), Basler Kommentar, OR II, 5 e éd., 2016, n. 19 ad art. 622 OR). Pour ce motif, le recours doit être admis et la requête de mainlevée provisoire rejetée, sans qu’il soit nécessaire d’interpréter plus avant le contrat. III. En conclusion, le recours doit être admis et le prononcé réformé en ce sens que l’opposition est maintenue. Vu l’admission du recours, les frais judiciaires de première instance, arrêtés à 360 fr., doivent être mis à la charge de la poursuivante. Celle-ci devra en outre verser au poursuivi des dépens de première instance, fixés à 1'000 fr., (art. 106 al. 1 CPC ; art. 3 et 6 TDC [tarif du 23 novembre 2010 des dépens en matière civile ; RSV 270.11.6]). Pour la même raison, les frais judiciaires de deuxième instance, arrêtés à 570 fr., doivent être mis à la charge de l’intimée. Celle-ci versera en outre au recourant des dépens de deuxième instance, fixés à 800 fr.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