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60 vom 19. April 2017</w:t>
      </w:r>
    </w:p>
    <w:p>
      <w:r>
        <w:t>VD Tribunal cantonal, 2017-04-19, FR</w:t>
      </w:r>
    </w:p>
    <w:p>
      <w:r>
        <w:rPr>
          <w:b/>
        </w:rPr>
        <w:t xml:space="preserve">Quelle: </w:t>
      </w:r>
      <w:r>
        <w:t>https://mcp.opencaselaw.ch/entscheid/vd_findinfo_ML___2017___60</w:t>
      </w:r>
    </w:p>
    <w:p>
      <w:r>
        <w:t>FR: VD_FINDINFO ML / 2017 / 60 du 19 avril 2017</w:t>
      </w:r>
    </w:p>
    <w:p>
      <w:r>
        <w:t>IT: VD_FINDINFO ML / 2017 / 60 del 19 aprile 2017</w:t>
      </w:r>
    </w:p>
    <w:p>
      <w:pPr>
        <w:pStyle w:val="Heading2"/>
      </w:pPr>
      <w:r>
        <w:t>Regeste</w:t>
      </w:r>
    </w:p>
    <w:p>
      <w:r>
        <w:t>MAINLEVÉE PROVISOIRE, TITRE DE MAINLEVÉE, TRANSFERT DES ACTIONS | 82 al. 1 LP, 82 LP</w:t>
      </w:r>
    </w:p>
    <w:p>
      <w:pPr>
        <w:pStyle w:val="Heading2"/>
      </w:pPr>
      <w:r>
        <w:t>Erwägungen</w:t>
      </w:r>
    </w:p>
    <w:p>
      <w:r>
        <w:rPr>
          <w:b/>
        </w:rPr>
        <w:t>E. 2</w:t>
      </w:r>
    </w:p>
    <w:p>
      <w:r>
        <w:t>et les réf. cit. ; CPF du 27 novembre 2015/327 ; CPF du 22 octobre 2013/421 ; Gilliéron, op. cit., n. 46 ad art. 82; Panchaud/Caprez, op. cit., § 71). b) En l'espèce, le recourant fait valoir que le premier juge a omis de tenir compte des conditions auxquelles la convention du 19 octobre 2012 était soumise ; d’après lui, l’acte de vente des actions était en effet expressément soumis à deux conditions : (i) que lui-même soit parvenu à réaliser la vente de sa maison de [...] et (ii) qu’il verse le montant de 96'000 fr. dans les six mois dès la signature de la convention ; la première condition serait suspensive (art. 151 CO), et la seconde résolutoire (art. 154 CO); il en déduit que la convention est devenue caduque le 20 avril 2013 ; le fait que l’intimé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 conteste que le premier juge ait constaté inexactement les faits ou violé l’art. 82 LP ; il fait sienne l’interprétation de la convention faite dans le prononcé attaqué. c) Le poursuivant se fonde sur une « Convention d’achats d’actions » du 19 octobre 2012, signée par le poursuivi. Par cette convention, les deux parties ont conclu un contrat de vente portant sur des actions nominatives d'une société anonyme.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 e éd., 2010, n°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le poursuivant ait consigné les actions vendues si elles ont été émises individuellement (ce qui paraît être le cas puisque le chiffre 4 de la convention mentionne leur endossement par le conseil d’administration), ou à tout le moins qu’il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 e éd., 2016, n. 19 ad art. 622 OR). Pour ce motif, le recours doit être admis et la requête de mainlevée provisoire rejetée, sans qu’il soit nécessaire d’interpréter plus avant le contrat. III. En conclusion, le recours doit être admis et le prononcé réformé en ce sens que l’opposition est maintenue. Vu l’admission du recours, les frais judiciaires de première instance, arrêtés à 480 fr., doivent être mis à la charge du poursuivant. Celui-ci devra en outre verser au poursuivi des dépens de première instance, fixés à 1'500 fr. (art. 106 al. 1 CPC ; art.</w:t>
      </w:r>
    </w:p>
    <w:p>
      <w:r>
        <w:rPr>
          <w:b/>
        </w:rPr>
        <w:t>E. 3</w:t>
      </w:r>
    </w:p>
    <w:p>
      <w:r>
        <w:t>et 6 TDC [tarif du 23 novembre 2010 des dépens en matière civile ; RSV 270.11.6]). Pour la même raison, les frais judiciaires de deuxième instance, arrêtés à 750 fr., doivent être mis à la charge de l’intimé. Celui-ci versera en outre au recourant des dépens de deuxième instance, fixés à 1’000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