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190 vom 26. Oktober 2017</w:t>
      </w:r>
    </w:p>
    <w:p>
      <w:r>
        <w:t>VD Tribunal cantonal, 2017-10-26, FR</w:t>
      </w:r>
    </w:p>
    <w:p>
      <w:r>
        <w:rPr>
          <w:b/>
        </w:rPr>
        <w:t xml:space="preserve">Quelle: </w:t>
      </w:r>
      <w:r>
        <w:t>https://mcp.opencaselaw.ch/entscheid/vd_findinfo_ML___2017___190</w:t>
      </w:r>
    </w:p>
    <w:p>
      <w:r>
        <w:t>FR: VD_FINDINFO ML / 2017 / 190 du 26 octobre 2017</w:t>
      </w:r>
    </w:p>
    <w:p>
      <w:r>
        <w:t>IT: VD_FINDINFO ML / 2017 / 190 del 26 ottobre 2017</w:t>
      </w:r>
    </w:p>
    <w:p>
      <w:pPr>
        <w:pStyle w:val="Heading2"/>
      </w:pPr>
      <w:r>
        <w:t>Regeste</w:t>
      </w:r>
    </w:p>
    <w:p>
      <w:r>
        <w:t>MAINLEVÉE PROVISOIRE, TITRE DE MAINLEVÉE, ERREUR ESSENTIELLE, CÉDULE HYPOTHÉCAIRE SUR PAPIER, RÉCUSATION | 842 CC, 24 al. 1 ch. 1 CO, 24 al. 1 ch. 4 CO, 30 al. 1 Cst., 82 al. 1 LP, 82 al. 2 LP, 82 LP, 49 CPC (CH)</w:t>
      </w:r>
    </w:p>
    <w:p>
      <w:pPr>
        <w:pStyle w:val="Heading2"/>
      </w:pPr>
      <w:r>
        <w:t>Erwägungen</w:t>
      </w:r>
    </w:p>
    <w:p>
      <w:r>
        <w:rPr>
          <w:b/>
        </w:rPr>
        <w:t>E. 24</w:t>
      </w:r>
    </w:p>
    <w:p>
      <w:r>
        <w:t>al. 1 ch. 1 CO n’entre donc pas en ligne de compte. En outre, l’origine matérielle ou scripturale des fonds qui ont fait l’objet des prêts en cause ne saurait être considérée comme un élément ayant amené la recourante à conclure ces prêts et être objectivement, du point de vue de la bonne foi en affaires, un élément essentiel du contrat. Cet élément ne concerne pas dans le cadre courant des affaires le bénéficiaire du prêt, dès lors qu’il reçoit les fonds prêtés. Au surplus, la prétendue erreur dans laquelle la recourante se serait trouvée à la date de la conclusion du contrat n’est pas rendue vraisemblable. Certes les contrats de prêt en cause comportaient par définition deux obligations (et non deux reconnaissance de dette) : celle de l’intimée de mettre à disposition de la recourante les fonds promis et celle de la recourante de restituer ces fonds en payant un intérêt. Or, l’intimée a établi rempli son obligation, alors que la recourante n’a pas rempli la sienne. Quant à la créance causale qui découle des contrats de prêt et la créance abstraite résultant des cédules hypothécaires, on a vu au considérant Iia ci-dessus qu’elles se juxtaposent. Elles ne sauraient pas conséquent s’annuler l’une l’autre, comme paraît le soutenir la recourante dans une argumentation difficilement intelligible. Au vu des considérations qui précèdent, il y a lieu de considérer que les conditions d’admission d’une erreur essentielle ne sont absolument pas réalisées, le moyen confinant à la témérité. Au surplus, la recourante n’a pas établi avoir invalidé les contrats en cause dans le délai d’une année de l’art. 31 CO. Enfin ce moyen vise la créance causale, et non la créance abstraite, seule litigieuse en l’espèce. Manifestement mal fondé, ce moyen doit être rejeté. c) La recourante soutient en outre qu’en réclamant un montant déjà compensé, l’intimée a agi de manière anticonstitutionnelle et contraire aux règles de la bonne foi. On voit mal ce qu’entend la recourante par « compensation ». L’intimée n’a pas éteint les créances en cause par compensation (art. 120 CO). Comme on l’a vu au considérant IIIb/bb ci-dessus, la recourante n’a pas établi que les conditions de l’erreur essentielles étaient réalisées, de sorte que les créances causales et cédulaires demeurent. Ce moyen est en conséquence mal fondé. d) Les moyens libératoires de la recourante étant sans consistance, celle-ci ne rend pas vraisemblable sa libération au sens de l’art. 82 al. 2 LP. IV. La recourante soutient enfin que le premier juge a fait preuve de partialité en ne mentionnant pas et en ne prenant pas en comptes les trois propositions qu’elle a faites à l’audience et qu’il aurait dû se récuser en raison du conflit d’intérêt découlant de son appartenance « au même conglomérat d’entreprise que la Banque G.________, chargé de l’organisation et de l’administration d’un seul et même Canton ». a) Selon l’art. 49 al. 1 CPC, la partie qui entend obtenir la récusation d’un magistrat la demande au tribunal aussitôt qu’elle a eu connaissance du motif de récusation. Elle doit rendre vraisemblable les faits qui motivent sa demande. Selon la jurisprudence, la garantie minimale d'un tribunal indépendant et impartial, telle qu'elle résulte des art. 30 al. 1 Cst. et 6 ch. 1 CEDH - lesquels ont, de ce point de vue, la même portée - permet, indépendamment du droit de procédure (en l'occurrence l'art. 47 CPC),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139 III 120 consid. 3.2.1 ; ATF 138 I 1 consid. 2.2 et les arrêt cités). Selon un principe général, la partie qui a connaissance d'un motif de récusation doit l'invoquer aussitôt, sous peine d'être déchue du droit de s'en prévaloir ultérieurement (ATF 139 III 120 précité ; ATF 138 I 1 précité, voir aussi l'art. 49 al. 1 CPC). Il est, en effet, contraire aux règles de la bonne foi de garder en réserve le moyen tiré de la composition irrégulière du tribunal pour ne l'invoquer qu'en cas d'issue défavorable de la procédure (ATF 136 III 605 consid. 3.2.2). Ainsi la récusation `doit être requise avant la levée de l’audience lorsqu’une cause de récusation est découverte pendant les débats (Tappy, Code de procédure civile commenté, n. 11 ad art. 49 CPC et référence). b) En l’espèce, dans la mesure où la recourante soutient que le premier juge a fait preuve de partialité à l’audience, il lui appartenait de demander immédiatement sa récusation. Ne l’ayant pas fait, elle est déchue du droit d’invoquer l’attitude de celui-ci ou de prétendu liens « organisationnels » qui lieraient les magistrats de l’ordre judiciaire et l’intimée. Au demeurant, les tribunaux sont indépendant de l’Etat et peuvent juger sans prévention sur les prétentions qui le concernent (TF 5D_21/2008 du 16 avril 2008 consid. 4, Revue suisse de procédure civile [RSPC] 2008, p. 341) et, a fortiori, sur celles qui concernent les entreprises dont il est actionnaire. Quant aux trois propositions faites prétendument par la recourante à l’intimée lors de l’audience, on en ignore la teneur. A supposer que celle-ci ait fait les propositions A, B et C contenues dans son recours, on ne voit pas  que le fait de ne pas en faire état dans le prononcé serait révélateur d’une quelconque prévention du juge de paix. Ce moyen, tout aussi manifestement mal fondé, doit ainsi être rejeté. V. En conclusion, le recours, manifestement mal fondé, doit être rejeté et le prononcé confirmé. Vu le rejet du recours, les frais judiciaires de deuxième instance, arrêtés à 2'625 fr. (art. 48 et 61 al. 1 OELP [ordonnance du 23 septembre 1996 sur les émoluments perçus en application de la LP ; RS 281.35])),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