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156 vom 25. August 2017</w:t>
      </w:r>
    </w:p>
    <w:p>
      <w:r>
        <w:t>VD Tribunal cantonal, 2017-08-25, FR</w:t>
      </w:r>
    </w:p>
    <w:p>
      <w:r>
        <w:rPr>
          <w:b/>
        </w:rPr>
        <w:t xml:space="preserve">Quelle: </w:t>
      </w:r>
      <w:r>
        <w:t>https://mcp.opencaselaw.ch/entscheid/vd_findinfo_ML___2017___156</w:t>
      </w:r>
    </w:p>
    <w:p>
      <w:r>
        <w:t>FR: VD_FINDINFO ML / 2017 / 156 du 25 août 2017</w:t>
      </w:r>
    </w:p>
    <w:p>
      <w:r>
        <w:t>IT: VD_FINDINFO ML / 2017 / 156 del 25 agosto 2017</w:t>
      </w:r>
    </w:p>
    <w:p>
      <w:pPr>
        <w:pStyle w:val="Heading2"/>
      </w:pPr>
      <w:r>
        <w:t>Regeste</w:t>
      </w:r>
    </w:p>
    <w:p>
      <w:r>
        <w:t>OUVERTURE DE LA FAILLITE, PROCÈS DEVENU SANS OBJET, REQUÊTE DE MAINLEVÉE, OBJET DU LITIGE | 206 al. 1 LP, 206 LP, 242 CPC (CH)</w:t>
      </w:r>
    </w:p>
    <w:p>
      <w:pPr>
        <w:pStyle w:val="Heading2"/>
      </w:pPr>
      <w:r>
        <w:t>Volltext</w:t>
      </w:r>
    </w:p>
    <w:p>
      <w:r>
        <w:t>Vaud Tribunal cantonal Cour des poursuites et faillites 25.08.2017 ML / 2017 / 156</w:t>
      </w:r>
    </w:p>
    <w:p>
      <w:r>
        <w:t>OUVERTURE DE LA FAILLITE, PROCÈS DEVENU SANS OBJET, REQUÊTE DE MAINLEVÉE, OBJET DU LITIGE | 206 al. 1 LP, 206 LP, 242 CPC (CH)</w:t>
      </w:r>
    </w:p>
    <w:p>
      <w:r>
        <w:t>TRIBUNAL CANTONAL KC17.007003-171160 196 Cour des poursuites et faillites ________________________________________________ Arrêt du 25 août 2017 __________________ Composition :              Mme Rouleau , présidente MM. Colombini et Maillard, juges Greffier : M.              Elsig ***** Art. 206 al. 1 LP ; 242 CPC Vu le prononcé non motivé rendu le 6 juin 2017, à la suite de l’interpellation de la poursuivie, par le Juge de paix du district de l’Ouest lausannois, notifié à la poursuivante le 13 juin 2017, rejetant la requête de Confédération suisse , représentée par l’ Office d’impôt PM-CTX , à Yverdon-les-Bains, tendant à la mainlevée définitive de l’opposition à la poursuite n° 8'070'114 de l’Office des poursuites du district de l’Ouest lausannois formée par S.________ SA , à [...], fixant les frais judiciaires à 180 fr., les mettant à la charge de la poursuivante et allouant à la poursuivie des dépens fixés à 600 fr., vu l’extrait du Registre du commerce – qui constitue un fait notoire (ATF 135 III 88 ; TF 5A_731/2016 du 20 décembre 2016 consid. 4.1 et références, qui doit être retenu d’office en procédure de recours, TF 4A_212/2011 du 4 mai 2012 consid. 2.3, non publié à l’ATF 138 III 294, TF 4A_261/2013 du 1 er octobre 2013 consid. 4.3) – mentionnant que, par décision du Président du Tribunal d’arrondissement de Lausanne du 4 mai 2017, la poursuivie a été déclarée en faillite avec effet au 4 mai 2016 à 11 h 18, vu la demande de motivation du prononcé du 6 juin 2017 déposée le 13 juin 2017 par la poursuivante ; vu les motifs du prononcé adressés aux parties le 28 juin 2017 et notifiés à la poursuivante le lendemain, vu le recours interjeté le 4 juillet 2017 contre ce prononcé par la poursuivante, représentée par l’Administration cantonale des impôts, vu les autres pièces du dossier ; attendu que la demande de motivation et le recours ont été déposés dans les délais de dix jours des art. 239 al. 2 et 321 al. 2 CPC (Code de procédure civile du 19 décembre 2008 ; RS 272), qu'aux termes de l'art. 206 al. 1 LP (loi du 11 avril 1889 sur la poursuite pour dettes et la faillite; RS 281.1), les poursuites dirigées contre le failli s'éteignent, que le présent recours n'a donc plus d'objet (art. 242 CPC ; CPF 3 octobre 2016/305 ; CPF 1er mai 2014/165 ; CPF 24 janvier 2013/28); attendu que le présent arrêt peut être rendu sans frais. Par ces motifs, la Cour des poursuites et faillites du Tribunal cantonal, statuant à huis clos en sa qualité d'autorité de recours en matière sommaire de poursuites, prononce : I. Le recours est sans objet. II. L’arrêt, rendu sans frais, est exécutoire. La présidente :               Le greffier : Du L'arrêt qui précède, dont la rédaction a été approuvée à huis clos, est notifié, par l'envoi de photocopies, à : ‑ Administration cantonale des impôts (pour Confédération suisse), ‑ M. Pascal Stouder, agent d’affaires breveté (pour S.________ SA). La Cour des poursuites et faillites considère que la valeur litigieuse est de 5’711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