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98 vom 21. April 2016</w:t>
      </w:r>
    </w:p>
    <w:p>
      <w:r>
        <w:t>VD Tribunal cantonal, 2016-04-21, FR</w:t>
      </w:r>
    </w:p>
    <w:p>
      <w:r>
        <w:rPr>
          <w:b/>
        </w:rPr>
        <w:t xml:space="preserve">Quelle: </w:t>
      </w:r>
      <w:r>
        <w:t>https://mcp.opencaselaw.ch/entscheid/vd_findinfo_ML___2016___98</w:t>
      </w:r>
    </w:p>
    <w:p>
      <w:r>
        <w:t>FR: VD_FINDINFO ML / 2016 / 98 du 21 avril 2016</w:t>
      </w:r>
    </w:p>
    <w:p>
      <w:r>
        <w:t>IT: VD_FINDINFO ML / 2016 / 98 del 21 aprile 2016</w:t>
      </w:r>
    </w:p>
    <w:p>
      <w:pPr>
        <w:pStyle w:val="Heading2"/>
      </w:pPr>
      <w:r>
        <w:t>Regeste</w:t>
      </w:r>
    </w:p>
    <w:p>
      <w:r>
        <w:t>MAINLEVÉE DÉFINITIVE, TITRE DE MAINLEVÉE | 80 al. 2 ch. 2 LP, 80 LP</w:t>
      </w:r>
    </w:p>
    <w:p>
      <w:pPr>
        <w:pStyle w:val="Heading2"/>
      </w:pPr>
      <w:r>
        <w:t>Volltext</w:t>
      </w:r>
    </w:p>
    <w:p>
      <w:r>
        <w:t>Vaud Tribunal cantonal Cour des poursuites et faillites 21.04.2016 ML / 2016 / 98</w:t>
      </w:r>
    </w:p>
    <w:p>
      <w:r>
        <w:t>MAINLEVÉE DÉFINITIVE, TITRE DE MAINLEVÉE | 80 al. 2 ch. 2 LP, 80 LP</w:t>
      </w:r>
    </w:p>
    <w:p>
      <w:r>
        <w:t>TRIBUNAL CANTONAL KC15.049417-160254 134 Cour des poursuites et faillites ________________________________________________ Arrêt du 21 avril 2016 _________________ Composition :              Mme Rouleau , présidente Mme Carlsson et M. Maillard, juges Greffier : M.              Elsig ***** Art. 80 al. 2 ch. 2 LP Vu le prononcé rendu sous forme de dispositif le 14 janvier 2016, à la suite de l’interpellation du poursuivi, par le Juge de paix du district de Lausanne, notifié au poursuivi le 3 février 2016, prononçant à concurrence de 776 fr. 55 plus intérêt à 3% l’an dès le 23 février 2015, de 2 fr. 60 sans intérêt et de 1 fr. 95 sans intérêt la mainlevée définitive de l’opposition formée par Y.________ , à [...], à la poursuite n° 7'538'239 de l’Office des poursuites du district de Lausanne exercée contre lui par l’ Etat de Vaud , représenté par l’ Office d’impôt des districts de Lausanne et de l’Ouest lausannois , à Lausanne, fixant les frais judiciaires à 120 fr., les mettant à la charge du poursuivi et disant qu’en conséquence celui-ci doit rembourser au poursuivant son avance de frais, par 120 fr., sans allocation de dépens pour le surplus, vu le recours interjeté contre ce prononcé par le poursuivi le 11 février 2016, ainsi que les pièces accompagnant cette écriture, vu l’écriture du recourant du 19 février 2016 et les pièces l’accompagnant, vu les motifs du prononcé adressés aux parties le 22 mars 2016 et notifiés au poursuivi le 24 mars 2016, vu le recours du poursuivi du 29 mars 2016, déposé à la poste le 31 mars 2016, et les pièces accompagnant cette écriture, vu la décision de la présidente de la cour de céans du 5 avril 2016 accordant d’office l’effet suspensif au recours, vu les autres pièces du dossier ; attendu que le recours valant demande de motivation et l’écriture du 29 mars 2016 ont été déposés dans les délais de dix jours des art. 239 al. 2 et 321 al. 2 CPC (Code de procédure civile du 19 décembre 2008 ; RS 272), que le recours, motivé conformément à l’art. 321 al. 1 CPC, est recevable, qu’en revanche, les pièces produites par le recourant avec ses écritures des 11 et 19 février 2016, ainsi qu’avec celle du 29 mars 2016 sont irrecevables dans la mesure où elles ne figurent pas au dossier de première instance, vu la prohibition des preuves nouvelles posée à l’art. 326 al. 1 CPC ; attendu qu’à l’appui de sa requête de mainlevée définitive, le poursuivi a produit les pièces suivantes : - l’original du commandement de payer les sommes de 776 fr. 55 avec intérêt à 3 % l’an dès le 23 février 2015, de 2 fr. 60 sans intérêt, de 1 fr. 95 sans intérêt et de 18 francs 30 sans intérêt, notifié le 7 août 2015 à Y.________ à la réquisition de l’Etat de Vaud dans la poursuite n° 7'538'239 de l’Office des poursuites du district de Lausanne, frappé d’opposition totale, indiquant comme titre de la créance ou cause de l’obligation : « Impôt sur le revenu et la fortune 2013 (Etat de Vaud, Commune de [...]), selon décision de taxation du 19.01.2015 et du décompte final du 19.01.2015, sommation adressée le 24.03.2015. », « Intérêts compensatoires », « Intérêts moratoires sur décompte » et « Frais de précédente poursuite N° [...] de l’OP [...] . » ; - une copie certifiée conforme de la décision de taxation et de calcul de l’impôt sur le revenu et la fortune pour l’année 2013 (impôt fédéral, cantonal et communal) du 19 janvier 2015, arrêtant à 0 fr. le revenu imposable et à 225'000 fr. la fortune imposable du poursuivi et arrêtant l’impôt cantonal et communal sur la fortune à 779 francs 15. Cette décision mentionne qu’une réclamation peut être déposée dans les trente jours dès sa notification et un timbre humide de l’Office d’impôt des districts de Lausanne et de l’Ouest lausannois du 13 novembre 2015 indique que la décision est devenue définitive et exécutoire, faute de recours ; - une copie certifiée conforme du décompte final complémentaire pour l’impôt sur le revenu et la fortune et l’impôt fédéral direct pour l’année 2013 du 19 janvier 2015 faisant état d’un solde de 781 fr. 10 (779 fr. 15 d’impôt sur le revenu et la fortune, 2 francs 60 d’intérêt compensatoire et 1 fr. 95 d’intérêt moratoire sous déduction de 2 francs 60 d’abandon d’intérêt). Ce décompte mentionne un délai de paiement au 22 février 2015, qu’il peut faire l’objet d’une réclamation dans les trente jours et comporte un timbre humide de l’Office d’impôt des districts de Lausanne et de l’Ouest lausannois du 13 novembre 2015 indiquant que le décompte est devenu définitif et exécutoire, faute de recours ; - une copie conforme à l’original de la sommation du 24 mars 2015 pour l’impôt sur le revenu et la fortune de l’année 2013 ; - une copie conforme à l’original du plan de recouvrement établi par le poursuivant le 7 avril 2015 prévoyant le versement par le poursuivi de la somme de 781 fr. 10 le 30 avril 2015 ; - une copie conforme à l’original du courrier du poursuivant de 20 mai 2015 constatant que le plan de recouvrement n’avait pas été respecté par le poursuivi et lui impartissant un délai de cinq jours pour s’acquitter du montant de 781 fr. 10, faute de quoi la plan de recouvrement serait révoqué et la procédure d’encaissement reprise pour la totalité des impôts arriérés ; - un relevé de compte au 13 novembre 2015 faisant état s’un solde en faveur du poursuivant de 852 fr. 70 ; attendu que le premier juge a considéré que la décision de taxation et le décompte complémentaire du 19 janvier 2015 constituaient des titres à la mainlevée définitive et que le poursuivi ne faisait valoir aucun moyen libératoire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 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 que l’art. 229 al. 2 LI (loi du 4 juillet 2000 sur les impôts directs cantonaux; RS 642.11) assimile à des jugements exécutoires les décisions en matière d’imposition cantonale, que l’art. 40 LICom (loi du 5 décembre 1956 sur les impôts communaux; RSV 650.11) prévoit la même assimilation en matière d’imposition communale, qu’en l’espèce, la décision de taxation et le décompte complémentaire du 19 janvier 2015 comportent la mention des voies de droit et constituent des décisions couvertes par les art. 229 al. 2 LI et 40 LICom, que ces décisions indiquent qu’elles sont entrées en force, qu’elles constituent en conséquence des titres à la mainlevée définitive ; attendu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le Tribunal fédéral a précisé que le juge de la mainlevée définitive n’avait pas à revoir ni à interpréter le titre de mainlevée qui lui était présenté, ni à trancher des questions de droit matériel délicates ou pour la solution desquelles le pouvoir d’appréciation joue un rôle important, la décision sur ces questions étant réservée au juge du fond (ATF 124 III 501 consid. 3a, JdT 1999 II 136) qu’en l’espèce le recourant conteste entre autre le fait qu’il soit soumis à un impôt sur sa fortune, alors que ses revenus ne lui permettent pas de le payer et que celle-ci n’a pas été constituée en Suisse, que ce faisant, il remet en question la décision de taxation du 19 janvier 2015, moyen qui n’est pas recevable en procédure de mainlevée, vu la jurisprudence susmentionnée, que le recours, manifestement mal fondé, doit en conséquence être rejeté et le prononcé confirmé ; attendu que, vu le rejet du recours, les frais judiciaires de deuxième instance, arrêtés à 180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du recourant Y.________. IV. L'arrêt est exécutoire. La présidente :               Le greffier : Du L'arrêt qui précède, dont la rédaction a été approuvée à huis clos, est notifié, par l'envoi de photocopies, à : ‑ M. Y.________, ‑ Office d’impôt des districts de Lausanne et de l’Ouest lausannois (pour Etat de Vaud). La Cour des poursuites et faillites considère que la valeur litigieuse est de 781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