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2016 / 97 vom 5. April 2016</w:t>
      </w:r>
    </w:p>
    <w:p>
      <w:r>
        <w:t>VD Tribunal cantonal, 2016-04-05, FR</w:t>
      </w:r>
    </w:p>
    <w:p>
      <w:r>
        <w:rPr>
          <w:b/>
        </w:rPr>
        <w:t xml:space="preserve">Quelle: </w:t>
      </w:r>
      <w:r>
        <w:t>https://mcp.opencaselaw.ch/entscheid/vd_findinfo_ML___2016___97</w:t>
      </w:r>
    </w:p>
    <w:p>
      <w:r>
        <w:t>FR: VD_FINDINFO ML / 2016 / 97 du 5 avril 2016</w:t>
      </w:r>
    </w:p>
    <w:p>
      <w:r>
        <w:t>IT: VD_FINDINFO ML / 2016 / 97 del 5 aprile 2016</w:t>
      </w:r>
    </w:p>
    <w:p>
      <w:pPr>
        <w:pStyle w:val="Heading2"/>
      </w:pPr>
      <w:r>
        <w:t>Regeste</w:t>
      </w:r>
    </w:p>
    <w:p>
      <w:r>
        <w:t>DÉCISION DE TAXATION, NOTIFICATION IRRÉGULIÈRE, PREUVE | 80 LP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al. 2 TDC; CPF, 12 février 2016/48 et 49). Vu l’admission du recours, les frais judiciaires de deuxième instance, arrêtés à 570 fr., sont mis à la charge de l’intimé, qui versera en outre au recourant des dépens de deuxième instance, fixés à 112 fr. 50 (art. 13 TDC), réduits dans la même proportion et pour les mêmes motifs que ceux de première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