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91 vom 13. April 2016</w:t>
      </w:r>
    </w:p>
    <w:p>
      <w:r>
        <w:t>VD Tribunal cantonal, 2016-04-13, FR</w:t>
      </w:r>
    </w:p>
    <w:p>
      <w:r>
        <w:rPr>
          <w:b/>
        </w:rPr>
        <w:t xml:space="preserve">Quelle: </w:t>
      </w:r>
      <w:r>
        <w:t>https://mcp.opencaselaw.ch/entscheid/vd_findinfo_ML___2016___91</w:t>
      </w:r>
    </w:p>
    <w:p>
      <w:r>
        <w:t>FR: VD_FINDINFO ML / 2016 / 91 du 13 avril 2016</w:t>
      </w:r>
    </w:p>
    <w:p>
      <w:r>
        <w:t>IT: VD_FINDINFO ML / 2016 / 91 del 13 aprile 2016</w:t>
      </w:r>
    </w:p>
    <w:p>
      <w:pPr>
        <w:pStyle w:val="Heading2"/>
      </w:pPr>
      <w:r>
        <w:t>Regeste</w:t>
      </w:r>
    </w:p>
    <w:p>
      <w:r>
        <w:t>ACTE DE RECOURS, INTÉRÊT DIGNE DE PROTECTION, DÉCISION D'IRRECEVABILITÉ, CONDITION DE RECEVABILITÉ | 59 al. 2 let. a CPC (CH)</w:t>
      </w:r>
    </w:p>
    <w:p>
      <w:pPr>
        <w:pStyle w:val="Heading2"/>
      </w:pPr>
      <w:r>
        <w:t>Volltext</w:t>
      </w:r>
    </w:p>
    <w:p>
      <w:r>
        <w:t>Vaud Tribunal cantonal Cour des poursuites et faillites 13.04.2016 ML / 2016 / 91</w:t>
      </w:r>
    </w:p>
    <w:p>
      <w:r>
        <w:t>ACTE DE RECOURS, INTÉRÊT DIGNE DE PROTECTION, DÉCISION D'IRRECEVABILITÉ, CONDITION DE RECEVABILITÉ | 59 al. 2 let. a CPC (CH)</w:t>
      </w:r>
    </w:p>
    <w:p>
      <w:r>
        <w:t>TRIBUNAL CANTONAL KD16.009317-160552 121 Cour des poursuites et faillites ________________________________________________ Arrêt du 13 avril 2016 __________________ Composition :              Mme Rouleau , présidente MM. Hack et Maillard, juges Greffier : M.              Elsig ***** Art. 59 al. 2 let. a CPC Vu la décision rendue le 24 mars 2016 et notifiée à N.________ , à [...], le 30 mars 2016, par la Juge de paix du district de Lausanne, déclarant irrecevable, faute d’intérêt digne de protection, la requête de constatation de non-retour à meilleure fortune déposée par le requérant dans la cause qui l’oppose à P.________ , à [...], vu le recours interjeté le 5 avril 2016 par N.________ contre cette décision, déclarant ne pas pouvoir écarter tout à fait à l’avenir l’éventualité d’une poursuite et réclamant dans cette hypothèse le droit d’initier la démarche de constatation de non-retour à meilleur fortune par la voie d’une procédure sommaire au sens de l’art. 265a al. 1 à 3 LP, vu les autres pièces du dossier ; attendu que le recours a été déposé dans le délai de dix jours de l’art. 321 al. 2 CPC (Code de procédure civile du 19 décembre 2008 ; RS 272), attendu que l'existence d'un intérêt à recourir est requis pour l'exercice de toute voie de droit (cf. art. 59 al. 2 let a CPC; ATF 130 III 102 consid. 1.3, rés. in JdT 2004 I 234; ATF 127 III 429 consid. 1b, rés. in JdT 2001 I 371; ATF 126 III 198 consid. 2b; ATF 120 II 5 consid. 2a, JdT 1997 I 59), que l'absence d'un tel intérêt, qui doit être constatée d'office (art. 60 CPC), entraîne l'irrecevabilité du recours (Freiburghaus/Afheldt in Sutter-Somm, Hasenböhler, Leuenberger (éd.), ZPO Kommentar, nn. 10 et 11 ad art. 321 CPC; Corboz, Commentaire de la LTF [loi sur le Tribunal fédéral; RS 173.110], n. 14 ad art. 76 LTF et les réf. citées), qu’en l’espèce, comme l’a constaté le premier juge, aucune poursuite fondée sur l’acte de défaut de biens invoqué par le recourant n’est ouverte contre lui, que la possibilité d’invoquer le moyen du non-retour à meilleure fortune, lors de la notification d’un commandement de payer est donnée par la loi, de sorte que le recourant n’a aucun intérêt digne de protection à la constatation de l’ouverture de cette voie de droit, qu’il lui suffira, dans l’hypothèse où un commandement de payer fondé sur l’acte de défaut de biens qu’il invoque lui serait notifié, de faire opposition à ce commandement de payer en précisant expressément qu’il oppose le moyen de non-retour à meilleur fortune, que le recours est en conséquence irrecevable, faute d’intérêt à recourir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N.________, ‑ P.________. La Cour des poursuites et faillites considère que la valeur litigieuse est de 20’345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