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83 vom 4. April 2016</w:t>
      </w:r>
    </w:p>
    <w:p>
      <w:r>
        <w:t>VD Tribunal cantonal, 2016-04-04, FR</w:t>
      </w:r>
    </w:p>
    <w:p>
      <w:r>
        <w:rPr>
          <w:b/>
        </w:rPr>
        <w:t xml:space="preserve">Quelle: </w:t>
      </w:r>
      <w:r>
        <w:t>https://mcp.opencaselaw.ch/entscheid/vd_findinfo_ML___2016___83</w:t>
      </w:r>
    </w:p>
    <w:p>
      <w:r>
        <w:t>FR: VD_FINDINFO ML / 2016 / 83 du 4 avril 2016</w:t>
      </w:r>
    </w:p>
    <w:p>
      <w:r>
        <w:t>IT: VD_FINDINFO ML / 2016 / 83 del 4 aprile 2016</w:t>
      </w:r>
    </w:p>
    <w:p>
      <w:pPr>
        <w:pStyle w:val="Heading2"/>
      </w:pPr>
      <w:r>
        <w:t>Regeste</w:t>
      </w:r>
    </w:p>
    <w:p>
      <w:r>
        <w:t>ACTE DE RECOURS, CONDITION DE RECEVABILITÉ, INTÉRÊT DIGNE DE PROTECTION, DÉCISION D'IRRECEVABILITÉ | 59 al. 2 let. a CPC (CH)</w:t>
      </w:r>
    </w:p>
    <w:p>
      <w:pPr>
        <w:pStyle w:val="Heading2"/>
      </w:pPr>
      <w:r>
        <w:t>Volltext</w:t>
      </w:r>
    </w:p>
    <w:p>
      <w:r>
        <w:t>Vaud Tribunal cantonal Cour des poursuites et faillites 04.04.2016 ML / 2016 / 83</w:t>
      </w:r>
    </w:p>
    <w:p>
      <w:r>
        <w:t>ACTE DE RECOURS, CONDITION DE RECEVABILITÉ, INTÉRÊT DIGNE DE PROTECTION, DÉCISION D'IRRECEVABILITÉ | 59 al. 2 let. a CPC (CH)</w:t>
      </w:r>
    </w:p>
    <w:p>
      <w:r>
        <w:t>TRIBUNAL CANTONAL KC15.042236-160510 111 Cour des poursuites et faillites ________________________________________________ Arrêt du 4 avril 2016 _________________ Composition :              Mme Rouleau , présidente MM. Hack et Maillard, juges Greffier : M.              Elsig ***** Art. 59 al. 2 let. a CPC Vu le prononcé rendu le 21 décembre 2015 et notifié au poursuivi le 24 décembre 2015, par la Juge de paix du district de l’Ouest lausannois, rejetant la requête de mainlevée de l’opposition formée par K.________ , à [...], à la poursuite n° 7'518'002 de l’Office des poursuites du district de l’Ouest lausannois déposée par l’ Etat de Genève , à Genève, et mettant les frais judiciaires à la charge du poursuivant, sans allocation de dépens, vu la demande de motivation de ce prononcé déposée le 6 janvier 2016 par le poursuivant, vu les motifs du prononcé, adressés aux parties le 9 mars 2016 et notifiés au poursuivi le 10 mars 2016, vu l’écriture de D.________ SA du 30 mars 2016, informant le premier juge maintenir la contestation des créances réclamées par l’Etat de Genève pour le motif que dès le 1 er janvier 2005, K.________ est contribuable vaudois, vu les autres pièces du dossier ; attendu que tant le dépôt du recours dans le délai de l’art. 321 al. 2 CPC (Code de procédure civile du 19 décembre 2008 ; RS 272) que la qualité de recourir au nom de K.________ de D.________ SA apparaissent douteux, que ces questions peuvent demeurer indécises, vu les considérations qui suivent ;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prononcé attaqué a rejeté la requête de mainlevée de l’intimé et mis les frais judiciaires à la charge de celui-ci, que cette décision est entièrement favorable à K.________, qui n’a dès lors aucun intérêt à recourir, que le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D.________ SA (pour K.________), ‑ Etat de Genève. La Cour des poursuites et faillites considère que la valeur litigieuse est de 1’414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