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78 vom 24. März 2016</w:t>
      </w:r>
    </w:p>
    <w:p>
      <w:r>
        <w:t>VD Tribunal cantonal, 2016-03-24, FR</w:t>
      </w:r>
    </w:p>
    <w:p>
      <w:r>
        <w:rPr>
          <w:b/>
        </w:rPr>
        <w:t xml:space="preserve">Quelle: </w:t>
      </w:r>
      <w:r>
        <w:t>https://mcp.opencaselaw.ch/entscheid/vd_findinfo_ML___2016___78</w:t>
      </w:r>
    </w:p>
    <w:p>
      <w:r>
        <w:t>FR: VD_FINDINFO ML / 2016 / 78 du 24 mars 2016</w:t>
      </w:r>
    </w:p>
    <w:p>
      <w:r>
        <w:t>IT: VD_FINDINFO ML / 2016 / 78 del 24 marzo 2016</w:t>
      </w:r>
    </w:p>
    <w:p>
      <w:pPr>
        <w:pStyle w:val="Heading2"/>
      </w:pPr>
      <w:r>
        <w:t>Regeste</w:t>
      </w:r>
    </w:p>
    <w:p>
      <w:r>
        <w:t>MAINLEVÉE DÉFINITIVE, OBLIGATION D'ENTRETIEN, ENFANT, MAJORITÉ{ÂGE}, REPRÉSENTATION LÉGALE | 277 al. 2 CC, 80 al. 1 LP, 80 LP</w:t>
      </w:r>
    </w:p>
    <w:p>
      <w:pPr>
        <w:pStyle w:val="Heading2"/>
      </w:pPr>
      <w:r>
        <w:t>Erwägungen</w:t>
      </w:r>
    </w:p>
    <w:p>
      <w:r>
        <w:rPr>
          <w:b/>
        </w:rPr>
        <w:t>E. 14</w:t>
      </w:r>
    </w:p>
    <w:p>
      <w:r>
        <w:t>janvier 2013/16; CPF, 8 février 2007/26). Lorsque la créance en poursuite est une contribution d’entretien en faveur d’un enfant fixée par un jugement de divorce, se pose toutefois la question de la légitimation active du parent poursuivant. En vertu de l’art. 289 al. 1 CC,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 dans la convention ratifiée par le juge est ainsi habilité à exercer en son nom personnel la poursuite en paiement de la créance alimentaire de l’enfant mineur lorsqu’elle a été fixée dans une procédure, mais les pouvoirs de représentation s’éteignent à la majorité de l’enfant, celui-ci devant agir en son propre nom contre le débiteur de la pension (CPF, 18 novembre 2013/460 ; 10 mars 2011/76 CPF, 24 septembre 2009/304; CPF, 13 novembre 2008/554; CPF, 13 novembre 2007/471; CPF, 7 juillet 2005/229; CPF, 9 juin 2005/193; CPF, 11 mars 2004/86 et les références citées; cf. aussi ATF 129 III 55 c. 3.1.2, rés. in JT 2003 I 210; Meier/Stettler, Droit de la filiation, 4 e éd., n. 962, p. 554-555 et les références citées à la note infrapaginale n. 2054 ; Perrin, Commentaire romand, n. 4 ad art. 289 CC). En l’espèce, la poursuite concerne des pensions dues à B.F.________ et C.F.________. La première est devenue majeure le 17 mars 2014, le second est majeur depuis le 10 juin 2015. La période pour laquelle les pensions sont réclamées s’étend du 1er octobre 2014 au 30 juin 2015. B.F.________ était majeure. Conformément à ce qui précède, c’était à elle d’agir en son nom. Or, elle a bien donné mandat au BRAPA pour la représenter, mais le commandement de payer a été émis au nom de sa mère. La mainlevée ne peut donc être accordée pour les pensions dues à B.F.________. C.F.________ était mineur jusqu’au 10 juin 2015. Jusqu’à cette date, c’était bien à sa mère d’agir pour lui pour la période en cause du 1 er octobre 2014 au 10 juin 2015. Il ressort des pièces produites en première instance que le recourant a versé la pension en cause jusqu’à la fin décembre 2014, soit pour janvier 2015 compris. Il a en effet indiqué que c’est de cette pension-là qu’il s’agissait (art. 86 al. 1 CO [Code des obligations du 30 mars 1911 ; RS 220]). Demeureraient donc impayées les contributions dues à A.F.________ pour la période courant du 1 er février au 10 juin 2015, soit 3'466 fr. 65 (800 x 4.33 mois). L’intérêt moratoire sur cette somme commence à courir dès le 5 avril 2015 échéance moyenne. III. Le recours doit en conséquence être partiellement admis et le prononcé réformé en ce sens que l’opposition est définitivement levée à concurrence  de 3'466 francs 65 avec intérêt à 5 % l’an dès 5 avril 2015, échéance moyenne. Vu l’issue du recours, les frais judiciaires de première instance, arrêtés à 360 fr., doivent être mis à raison de deux tiers à la charge de la poursuivante, par 240 fr., et à raison d’un tiers à la charge du poursuivi, par 120 francs. Celui-ci remboursera en conséquence à la poursuivie 120 fr. à titre de restitution partielle d’avance de frais (art. 106 al. 2 CPC). Les frais judiciaires de deuxième instance, arrêtés à 405 fr., doivent être mis à la charge de l’intimée, qui succombe presque totalement en recours. Celle-ci versera en conséquence au recourant la somme de 405 fr. à titre de restitution de l’avance de frais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