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73 vom 18. März 2016</w:t>
      </w:r>
    </w:p>
    <w:p>
      <w:r>
        <w:t>VD Tribunal cantonal, 2016-03-18, FR</w:t>
      </w:r>
    </w:p>
    <w:p>
      <w:r>
        <w:rPr>
          <w:b/>
        </w:rPr>
        <w:t xml:space="preserve">Quelle: </w:t>
      </w:r>
      <w:r>
        <w:t>https://mcp.opencaselaw.ch/entscheid/vd_findinfo_ML___2016___73</w:t>
      </w:r>
    </w:p>
    <w:p>
      <w:r>
        <w:t>FR: VD_FINDINFO ML / 2016 / 73 du 18 mars 2016</w:t>
      </w:r>
    </w:p>
    <w:p>
      <w:r>
        <w:t>IT: VD_FINDINFO ML / 2016 / 73 del 18 marzo 2016</w:t>
      </w:r>
    </w:p>
    <w:p>
      <w:pPr>
        <w:pStyle w:val="Heading2"/>
      </w:pPr>
      <w:r>
        <w:t>Regeste</w:t>
      </w:r>
    </w:p>
    <w:p>
      <w:r>
        <w:t>MAINLEVÉE PROVISOIRE, TITRE DE MAINLEVÉE, CONTRAT BILATÉRAL, CONTRE-PRESTATION, PREUVE | 82 al. 1 LP, 82 LP</w:t>
      </w:r>
    </w:p>
    <w:p>
      <w:pPr>
        <w:pStyle w:val="Heading2"/>
      </w:pPr>
      <w:r>
        <w:t>Erwägungen</w:t>
      </w:r>
    </w:p>
    <w:p>
      <w:r>
        <w:rPr>
          <w:b/>
        </w:rPr>
        <w:t>E. 19</w:t>
      </w:r>
    </w:p>
    <w:p>
      <w:r>
        <w:t>décembre 2008 ; RS 272) et motivé conformément à l’art. 321 al. 1 CPC est recevable. La réponse de l’intimée déposée dans le délai de l’art. 322 CPC est également recevable. En revanche, les pièces produites par l’intimée sont irrecevables dans la mesure où elles ne figurent pas au dossier de première instance, vu la prohibition des preuves nouvelles en deuxième instance prévue par l’art. 326 al. 1 CPC. II. a) Selon l'art. 82 LP (loi fédérale du 11 avril 1889 sur la poursuite pour dettes et la faillite; RS 281.1), le créancier dont la poursuite est frappée d'opposition peut, s'il se trouve au bénéfice d'une reconnaissance de dette, requérir la mainlevée provisoire de l'opposition, que le juge prononce si le débiteur ne rend pas immédiatement vraisemblable sa libération. Le contentieux de la mainlevée d'opposition, soumis à la procédure sommaire (art. 251 let. a CPC), est une procédure sur pièces (Urkundenprozess; art. 254 al. 1 CPC), dont le but n'est pas de constater la réalité de la créance en poursuite, mais l'existence d'un titre exécutoire : le juge de la mainlevée examine uniquement la force probante du titre produit par le créancier poursuivant, sa nature formelle et non pas la validité de la prétention déduite en poursuite (ATF 132 III 140, rés. in JdT 2006 Il 187). Il n’est compétent que pour examiner le jugement exécutoire ou les titres qui y sont assimilés dans le cas d’une requête de mainlevée définitive, respectivement le titre – privé ou public – qu’est la reconnaissance de dette dans le cas d’une requête de mainlevée provisoire, ainsi que les trois identités : l’identité entre le poursuivant et le créancier désigné dans ce titre, l’identité entre le poursuivi et le débiteur désigné et l’identité entre la prétention déduite en poursuite et la dette reconnue et enfin statuer sur le droit du créancier de poursuivre le débiteur, c’est-à-dire décider si l’opposition doit ou ne doit pas être maintenue (ATF 139 III 444 consid. 4.1.1 et les réf. citées). Le prononcé de mainlevée ne sortit que des effets de droit des poursuites et la décision du juge de la mainlevée provisoire ne prive pas les parties du droit de soumettre à nouveau la question litigieuse au juge ordinaire (TF 5A_577/2013 du 7 octobre 2013, consid. 4.1; ATF 136 III 528 consid. 3.2). b) Par reconnaissance de dette au sens de l’art. 82 LP, il faut entendre notamment l'acte d'où résulte la volonté du poursuivi de payer au poursuivant une somme d'argent déterminée, ou aisément déterminable, et échue, sans réserve ni condition (ATF 132 III 480 consid. 4.1, JdT 2007 II 75; ATF 130 III 87 consid. 3.1, JdT 2004 II 118; ATF 122 III 125 consid. 2, JdT 1998 II 82;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La reconnaissance de dette ne justifie la mainlevée de l’opposition que si la somme d’argent due est chiffrée au titre principal lui-même ou dans un titre annexe auquel la reconnaissance se rapporte (Panchaud &amp; Caprez, op. cit., § 15).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op. cit., § 69; Gilliéron, op. cit., nn. 44 et 45 ad art. 82 LP). c) En l’espèce, il ressort des pièces produites en première instance que la recourante vendait un véhicule à l’intimée, qui le vendait à un garage tiers, lequel à son tour le vendait au client final. Les seules pièces signées par la poursuivie sont les bulletins de précommande qui prévoient une rubrique « PRIMES EN RISTOURNE » comprenant divers montants, le plus souvent avec la mention « prime de reprise ». Il apparaît que ces primes avaient trait à la reprise du véhicule usagé du client final. Le versement de ces primes était manifestement subordonné à une contreprestation de l’intimée, sinon elles auraient été simplement déduites du prix de vente. Logiquement, cette contreprestation devait être la remise par l’intimée du véhicule d’occasion à la recourante. Aussi bien deux montants étaient-ils parfois prévus suivant le kilométrage du véhicule repris. Or il n’est nullement établi que l’intimée aurait remis le véhicule repris à la recourante. A cet égard, l’intimée allègue que le véhicule repris n’était jamais livré à la recourante, l’usage commercial étant que la recourante paie la reprise à l’intimée sur présentation de la carte grise annulée du client final. Toutefois, l’intimée n’a pas établi cette pratique. En outre, l’intimée n’a pas établi avoir payé à la recourante le prix d’achat du véhicule neuf, ni avoir elle-même versé le montant de la reprise aux garagistes, les note de crédits étant insuffisantes à cet égard. Ainsi, à défaut de preuve par l’intimée de l’exécution de la contreprestation qui était à sa charge, la mainlevée provisoire ne pouvait être accordée. III. En conclusion, le recours doit être admis et le prononcé réformé que ce sens que l’opposition est maintenue. Vu l’admission du recours, les frais judiciaires de première instance doivent être mis à la charge de la poursuivante (art. 106 al. 1 CO), sans allocation de dépens pour le surplus, la poursuivie ayant agi sans l’assistance d’un mandataire professionnel. Les frais judiciaires de deuxième instance, fixés à 510 fr., doivent être mis à la charge de l’intimée, qui succombe (art. 106 al. 1 CPC), sans allocation de dépens pour le surplus pour les motifs indiqués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