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51 vom 25. Februar 2016</w:t>
      </w:r>
    </w:p>
    <w:p>
      <w:r>
        <w:t>VD Tribunal cantonal, 2016-02-25, FR</w:t>
      </w:r>
    </w:p>
    <w:p>
      <w:r>
        <w:rPr>
          <w:b/>
        </w:rPr>
        <w:t xml:space="preserve">Quelle: </w:t>
      </w:r>
      <w:r>
        <w:t>https://mcp.opencaselaw.ch/entscheid/vd_findinfo_ML___2016___51</w:t>
      </w:r>
    </w:p>
    <w:p>
      <w:r>
        <w:t>FR: VD_FINDINFO ML / 2016 / 51 du 25 février 2016</w:t>
      </w:r>
    </w:p>
    <w:p>
      <w:r>
        <w:t>IT: VD_FINDINFO ML / 2016 / 51 del 25 febbraio 2016</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25.02.2016 ML / 2016 / 51</w:t>
      </w:r>
    </w:p>
    <w:p>
      <w:r>
        <w:t>ACTE DE RECOURS, CONDITION DE RECEVABILITÉ, MOTIVATION DE LA DEMANDE | 321 al. 1 CPC (CH)</w:t>
      </w:r>
    </w:p>
    <w:p>
      <w:r>
        <w:t>TRIBUNAL CANTONAL KC15.052335-160322 68 Cour des poursuites et faillites ________________________________________________ Arrêt du 25 février 2016 ___________________ Composition :              Mme Rouleau , présidente Mmes Carlsson et Byrde, juges Greffier : Mme              Debétaz Ponnaz ***** Art. 321 al. 1 CPC Vu le prononcé rendu le 19 janvier 2016, à la suite de l’interpellation de la partie poursuivie, par le Juge de paix du district de La Riviera – Pays-d’Enhaut, dans la poursuite en réalisation de gage mobilier n° 7’672’058 de l’Office des poursuites du même district exercée contre A.Z.________ , à [...], à l’instance de N.________ et T.________ , à Lausanne, prononçant la mainlevée définitive de l’opposition à concurrence de 7'312 fr. 60, plus intérêt à 5% l’an dès le 20 novembre 2015, constatant l’existence du droit de gage, arrêtant à 180 fr. les frais judiciaires, compensés avec l’avance de frais des poursuivants, les mettant à la charge du poursuivi et disant que ce dernier doit en conséquence rembourser aux poursuivants, solidairement entre eux, leur avance de frais, à concurrence de 180 fr., et leur verser la somme de 300 fr. à titre de dépens, en défraiement de leur représentant professionnel, vu la lettre datée du 29 et adressée le 30 janvier 2016 au juge de paix, qui l’a considérée comme une demande de motivation, dans laquelle le poursuivi et B.Z.________, codébitrice solidaire poursuivie parallèlement, ont déclaré maintenir leur opposition à la poursuite et formulé divers griefs contre le déroulement de la procédure d’expulsion dont ils avaient fait l’objet, vu le prononcé motivé adressé aux parties le 9 et notifié au poursuivi le 10 février 2016, vu la lettre datée du 19 et postée le 20 février 2016 à l’adresse du Tribunal cantonal, dans laquelle A.Z.________ et B.Z.________ déclarent faire recours contre le prononcé du juge de paix, se plaignent de « l’organisation de cette expulsion » et font valoir que, n’ayant reçu aucune explication ni devis ni facture pour leur déménagement, ils refusent de le payer,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exercé le 20 février 2016 l’a été en temps utile ; attendu que la partie qui entend user d'une voie de droit a la charge de se conformer à certaines règles de forme, à défaut de quoi sa démarche sera frappée d'irrecevabilité (Jeandin, in Bohnet et al.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A.Z.________ et B.Z.________ sont poursuivis solidairement en paiement de frais de justice et de dépens mis à leur charge par un prononcé d’exécution forcée d’expulsion rendu à la requête de N.________ et T.________, confirmé par un arrêt de la Chambre des recours civile du Tribunal cantonal, que leur recours ne contient pas de grief, motif ou moyen de recours reconnaissable contre le prononcé de mainlevée d’opposition, mais uniquement des critiques contre la procédure d’expulsion dont ils ont fait l’objet, qu’il est exclu de réexaminer cette procédure à ce stade et de remettre en cause les jugements sur lesquels la poursuite est fondée, que de jurisprudence constante, en effet, ni le juge de la mainlevée ni l’autorité de recours en cette matière n’ont le pouvoir de réexaminer le contenu d’une décision valant titre de mainlevée définitive (TF 5A_770/2011 du 23 janvier 2012, consid. 4.1 ; ATF 124 III 501 consid. 31 ; 113 III 6 consid. 1b, JdT 1989 II 70), qu’en conclusion, le recours, faute d'être motivé, ne satisfait pas aux exigences de forme posées par la loi et la jurisprudence et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A.Z.________, ‑ M. Pierre-Yves Zurcher, agent d’affaires breveté (pour N.________ et T.________). La Cour des poursuites et faillites considère que la valeur litigieuse est de 7’312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