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30 vom 4. Februar 2016</w:t>
      </w:r>
    </w:p>
    <w:p>
      <w:r>
        <w:t>VD Tribunal cantonal, 2016-02-04, FR</w:t>
      </w:r>
    </w:p>
    <w:p>
      <w:r>
        <w:rPr>
          <w:b/>
        </w:rPr>
        <w:t xml:space="preserve">Quelle: </w:t>
      </w:r>
      <w:r>
        <w:t>https://mcp.opencaselaw.ch/entscheid/vd_findinfo_ML___2016___30</w:t>
      </w:r>
    </w:p>
    <w:p>
      <w:r>
        <w:t>FR: VD_FINDINFO ML / 2016 / 30 du 4 février 2016</w:t>
      </w:r>
    </w:p>
    <w:p>
      <w:r>
        <w:t>IT: VD_FINDINFO ML / 2016 / 30 del 4 febbraio 2016</w:t>
      </w:r>
    </w:p>
    <w:p>
      <w:pPr>
        <w:pStyle w:val="Heading2"/>
      </w:pPr>
      <w:r>
        <w:t>Regeste</w:t>
      </w:r>
    </w:p>
    <w:p>
      <w:r>
        <w:t>SIGNATURE NUMÉRIQUE, MOTIVATION DE LA DEMANDE, DÉCISION D'IRRECEVABILITÉ | 130 al. 1 CPC (CH), 130 al. 2 CPC (CH), 321 al. 1 CPC (CH)</w:t>
      </w:r>
    </w:p>
    <w:p>
      <w:pPr>
        <w:pStyle w:val="Heading2"/>
      </w:pPr>
      <w:r>
        <w:t>Volltext</w:t>
      </w:r>
    </w:p>
    <w:p>
      <w:r>
        <w:t>Vaud Tribunal cantonal Cour des poursuites et faillites 04.02.2016 ML / 2016 / 30</w:t>
      </w:r>
    </w:p>
    <w:p>
      <w:r>
        <w:t>SIGNATURE NUMÉRIQUE, MOTIVATION DE LA DEMANDE, DÉCISION D'IRRECEVABILITÉ | 130 al. 1 CPC (CH), 130 al. 2 CPC (CH), 321 al. 1 CPC (CH)</w:t>
      </w:r>
    </w:p>
    <w:p>
      <w:r>
        <w:t>TRIBUNAL CANTONAL KC15.040495-160170 38 Cour des poursuites et faillites ________________________________________________ Arrêt du 4 février 2016 __________________ Composition :              Mme Rouleau , présidente Mme Byrde et M. Maillard, juges Greffier : M.              Elsig ***** Art. 130 al. 1 et 2, 321 al. 1 CPC Vu le prononcé rendu sous forme de dispositif le 9 décembre 2015, à la suite de l’audience du 1 er décembre 2015, par le Juge de paix du district d’Aigle, notifié à la poursuivante le 10 décembre 2015, rejetant la requête de mainlevée d’opposition déposée par Z.________ GmbH , à [...], dans la poursuite n° 7'528'287 de l’Office des poursuites du district d’Aigle ouverte par elle contre I.________ SA , à [...], vu la demande de motivation de ce prononcé déposée par télécopie le 18 décembre 2015 et, dans le délai imparti pour corriger le vice de défaut de signature, par courrier de la poursuivante du 29 décembre 2015, vu les motifs du prononcé adressés aux parties le 14 janvier 2016 et notifiés à la poursuivante le 18 janvier 2016, vu le courriel non motivé de émanant de l’adresse «  [...]@Z.________ GmbH- [...] » la Justice de paix du district d’Aigle du 28 janvier 2016 déclarant ne pas accepter le prononcé susmentionné,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du 17 juin 2015 sur le Tribunal fédéral ; RS 173.110]), doit être également appliqué dans la procédure de recours régie par le CPC (ATF 140 III 636 ; Tappy, Les voies de droit du nouveau Code de procédure civile, in JdT 2010 III 115, spéc. p. 131), que selon l’art. 130 al. 1 CPC, les actes sont adressés au tribunal sous forme de documents papier ou électronique et doivent être signés, que la signature est une condition sine qua non de la validité des actes de procédure (Bohnet, Code de procédure civile commenté, n. 9 ad art. 130 CPC) que, lorsqu’ils sont transmis par voie électronique, le document contenant l’acte et les pièces annexées doivent être certifiés par la signature électronique reconnue de l’expéditeur, le Conseil fédéral déterminant le format du document (art. 130 al. 2 CPC), que l’art. 7 OCEI-PCPP (ordonnance sur la communication électronique dans le cadre de procédures civiles et pénales et de procédures en matière de poursuite pour dettes et de faillite du 18 juin 2010 ; RS 272.1) précise qu’est une signature électronique valable, une signature électronique qualifiée basée sur un certificat qualifié qui émane d’un fournisseur reconnu, qu’en l’espèce, le courriel du 28 janvier 2016 n’est pas muni d’une signature électronique valable au sens des art. 130 al. 2 CPC et 7 OCEI-PCPP, de sorte qu’il n’est pas possible de vérifier s’il exprime bien la volonté de la poursuivante, que ce courriel ne constitue dès lors pas un acte de procédure valable, qu’il n’est pas nécessaire d’impartir à la recourante un délai pour produire un acte signé, dès lors que le recours doit être déclaré irrecevable pour le motif qui suit ; attendu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courriel du 28 janvier 2016 ne contient aucun grief, motif ou moyen de recours contre le prononcé attaqué, que l’acte de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Z.________ GmbH, ‑ M. Jean-Daniel Nicaty, agent d’affaires breveté, (pour I.________ SA). La Cour des poursuites et faillites considère que la valeur litigieuse est de 3’093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