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24 vom 22. Januar 2016</w:t>
      </w:r>
    </w:p>
    <w:p>
      <w:r>
        <w:t>VD Tribunal cantonal, 2016-01-22, FR</w:t>
      </w:r>
    </w:p>
    <w:p>
      <w:r>
        <w:rPr>
          <w:b/>
        </w:rPr>
        <w:t xml:space="preserve">Quelle: </w:t>
      </w:r>
      <w:r>
        <w:t>https://mcp.opencaselaw.ch/entscheid/vd_findinfo_ML___2016___24</w:t>
      </w:r>
    </w:p>
    <w:p>
      <w:r>
        <w:t>FR: VD_FINDINFO ML / 2016 / 24 du 22 janvier 2016</w:t>
      </w:r>
    </w:p>
    <w:p>
      <w:r>
        <w:t>IT: VD_FINDINFO ML / 2016 / 24 del 22 gennaio 2016</w:t>
      </w:r>
    </w:p>
    <w:p>
      <w:pPr>
        <w:pStyle w:val="Heading2"/>
      </w:pPr>
      <w:r>
        <w:t>Regeste</w:t>
      </w:r>
    </w:p>
    <w:p>
      <w:r>
        <w:t>DÉCISION D'IRRECEVABILITÉ, INTÉRÊT DIGNE DE PROTECTION, ACTE DE RECOURS, CONDITION DE RECEVABILITÉ | 59 al. 2 let. a CPC (CH)</w:t>
      </w:r>
    </w:p>
    <w:p>
      <w:pPr>
        <w:pStyle w:val="Heading2"/>
      </w:pPr>
      <w:r>
        <w:t>Volltext</w:t>
      </w:r>
    </w:p>
    <w:p>
      <w:r>
        <w:t>Vaud Tribunal cantonal Cour des poursuites et faillites 22.01.2016 ML / 2016 / 24</w:t>
      </w:r>
    </w:p>
    <w:p>
      <w:r>
        <w:t>DÉCISION D'IRRECEVABILITÉ, INTÉRÊT DIGNE DE PROTECTION, ACTE DE RECOURS, CONDITION DE RECEVABILITÉ | 59 al. 2 let. a CPC (CH)</w:t>
      </w:r>
    </w:p>
    <w:p>
      <w:r>
        <w:t>TRIBUNAL CANTONAL KC15.044633-160105 28 Cour des poursuites et faillites ________________________________________________ Arrêt du 22 janvier 2016 ___________________ Composition :              Mme Rouleau , présidente Mmes Carlsson et Byrde, juges Greffier : M.              Elsig ***** Art. 59 al. 2 let. a CPC Vu le prononcé rendu le 8 décembre 2015 et notifié à la poursuivie le 6 janvier 2016 par le Juge de paix du district de Lausanne, prenant acte du retrait de la requête de mainlevée dans la poursuite n° 7'596'324 de l’Office des poursuites du district de Lausanne intentée contre C.________ , à [...], par la COMMUNE DE Z.________ , à Z.________, fixant les frais judiciaires à 180 fr., les mettant à la charge de cette dernière et rayant la cause du rôle, vu l’écriture de C.________ du 11 janvier 2016, reprochant au premier juge de n’avoir pas tenu compte de son courrier du 1 er décembre 2015,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l'espèce, le recours, déposé le 11 janvier 2016 à l’attention du premier juge, l’a été temps utile; attendu que l'existence d'un intérêt à recourir est requis pour l'exercice de toute voie de droit (cf. art. 59 al. 2 let a CPC; ATF 130 III 102 consid. 1.3, rés. in JdT 2004 I 234; ATF 127 III 429 consid. 1b, rés. in JdT 2001 I 371; ATF 126 III 198 consid. 2b; ATF 120 II 5 consid. 2a, JdT 1997 I 59), que l'absence d'un tel intérêt, qui doit être constatée d'office (art. 60 CPC), entraîne l'irrecevabilité du recours (Freiburghaus/Afheldt in Sutter-Somm, Hasenböhler, Leuenberger (éd.), ZPO Kommentar, nn. 10 et 11 ad art. 321 CPC; Corboz, Commentaire de la LTF [loi sur le Tribunal fédéral; RS 173.110], n. 14 ad art. 76 LTF et les réf. citées), qu’en l’espèce, la Commune de Z.________ a retiré la requête de mainlevée déposée contre la recourante, ce qui a clos la procédure en faveur de celle-ci, que le prononcé attaqué prend acte judiciairement de ce retrait et met les frais à la charge de la Commune de Z.________, que cette décision est entièrement favorable à la recourante, qui n’a dès lors aucun intérêt à recourir, que le recours est en conséquence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Mme C.________, ‑ Commune de Z.________. La Cour des poursuites et faillites considère que la valeur litigieuse est de 12’092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