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2016 / 234 vom 19. Oktober 2016</w:t>
      </w:r>
    </w:p>
    <w:p>
      <w:r>
        <w:t>VD Tribunal cantonal, 2016-10-19, FR</w:t>
      </w:r>
    </w:p>
    <w:p>
      <w:r>
        <w:rPr>
          <w:b/>
        </w:rPr>
        <w:t xml:space="preserve">Quelle: </w:t>
      </w:r>
      <w:r>
        <w:t>https://mcp.opencaselaw.ch/entscheid/vd_findinfo_ML___2016___234</w:t>
      </w:r>
    </w:p>
    <w:p>
      <w:r>
        <w:t>FR: VD_FINDINFO ML / 2016 / 234 du 19 octobre 2016</w:t>
      </w:r>
    </w:p>
    <w:p>
      <w:r>
        <w:t>IT: VD_FINDINFO ML / 2016 / 234 del 19 ottobre 2016</w:t>
      </w:r>
    </w:p>
    <w:p>
      <w:pPr>
        <w:pStyle w:val="Heading2"/>
      </w:pPr>
      <w:r>
        <w:t>Regeste</w:t>
      </w:r>
    </w:p>
    <w:p>
      <w:r>
        <w:t>MAINLEVÉE DÉFINITIVE, TITRE DE MAINLEVÉE, DÉCISION EXÉCUTOIRE, PROTECTION DE L'UNION CONJUGALE, OBLIGATION D'ENTRETIEN, PRESTATION PÉRIODIQUE, INTÉRÊT MORATOIRE, TRANSACTION JUDICIAIRE | 80 al. 1 LP, 80 al. 2 LP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décembre 2014/403). Les frais judiciaires de deuxième instance sont arrêtés à 510 fr. (art. 48 et 61 al. 1 OELP [ordonnance sur les émoluments perçus en application de la LP ; RS 281.1]). Ils sont supportés par le recourant, qui doit être considéré comme ayant succombé (art. 106 al. 1 CPC). Pour ce motif également, il doit à l’intimée des dépens de deuxième instance, qu’il convient de fixer à 800 fr. (art. 3 et 8 TDC [Tarif des dépens en matière civile 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