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23 vom 21. Januar 2016</w:t>
      </w:r>
    </w:p>
    <w:p>
      <w:r>
        <w:t>VD Tribunal cantonal, 2016-01-21, FR</w:t>
      </w:r>
    </w:p>
    <w:p>
      <w:r>
        <w:rPr>
          <w:b/>
        </w:rPr>
        <w:t xml:space="preserve">Quelle: </w:t>
      </w:r>
      <w:r>
        <w:t>https://mcp.opencaselaw.ch/entscheid/vd_findinfo_ML___2016___23</w:t>
      </w:r>
    </w:p>
    <w:p>
      <w:r>
        <w:t>FR: VD_FINDINFO ML / 2016 / 23 du 21 janvier 2016</w:t>
      </w:r>
    </w:p>
    <w:p>
      <w:r>
        <w:t>IT: VD_FINDINFO ML / 2016 / 23 del 21 gennaio 2016</w:t>
      </w:r>
    </w:p>
    <w:p>
      <w:pPr>
        <w:pStyle w:val="Heading2"/>
      </w:pPr>
      <w:r>
        <w:t>Regeste</w:t>
      </w:r>
    </w:p>
    <w:p>
      <w:r>
        <w:t>MAINLEVÉE PROVISOIRE, TITRE DE MAINLEVÉE, POURSUITE EN RÉALISATION DE GAGE, GAGE IMMOBILIER, RÉSILIATION, INTÉRÊT MORATOIRE, DEMEURE DU DÉBITEUR | 844 aCC, 105 al. 1 CO, 82 LP</w:t>
      </w:r>
    </w:p>
    <w:p>
      <w:pPr>
        <w:pStyle w:val="Heading2"/>
      </w:pPr>
      <w:r>
        <w:t>Erwägungen</w:t>
      </w:r>
    </w:p>
    <w:p>
      <w:r>
        <w:rPr>
          <w:b/>
        </w:rPr>
        <w:t>E. 7</w:t>
      </w:r>
    </w:p>
    <w:p>
      <w:r>
        <w:t>octobre 2014, dans l’un desquels, dont le recourant a accusé réception, la banque indiquait que ses engagements avaient été dénoncés au remboursement par courrier du 25 septembre 2014 pour le 30 avril 2015. Pour le surplus, le recourant ne rend nullement vraisemblable l’existence d’un accord conclu avec la banque sur l’octroi d’un délai au 10 octobre 2014 pour régulariser le paiement des intérêts et de l’amortissement sur les prêts hypothécaires. Le mail du 7 octobre 2014 dans lequel il demandait l’IBAN du compte sur lequel il devait verser le montant permettant de régulariser la situation ne constitue en effet même pas un indice de l’existence d’un tel accord. Il y a ainsi lieu de constater qu’à la date du dépôt de la réquisition de poursuite, le 4 mai 2015, tant la créance abstraite que les créances causales étaient exigibles. IV. a) Subsidiairement, le recourant fait valoir que l’intimée ne justifie pas d’une reconnaissance de dette au sens de l’art. 82 LP en ce qui concerne le montant des créances causales. Il se prévaut du chiffre 9 des contrats, qui stipule que tous les comptes du client « quelle que soit leur dénomination et la monnaie dans laquelle ils sont libellés, constituent un compte courant unique », et considère qu’il appartenait à l’intimée de justifier d’un bien-trouvé dûment signé par lui. Il conteste en outre les intérêts moratoires à 5 % réclamés sur les demi-annuités impayées et les frais, ainsi que le dies a quo, de même que les majorations d’intérêt sur les soldes en capital. b) En cas de coexistence entre la créance abstraite et la créance causale, il existe entre le créancier et le débiteur un accord selon lequel le créancier s’engage à ne pas exercer ses droits sur la créance cédulaire au-delà de ce que requiert son désintéressement par rapport à la créance causale. En d’autres termes, le créancier ne peut faire valoir la créance abstraite que jusqu’à concurrence de ce à quoi il a droit en capital et intérêt du chef du prêt garanti par la cédule. Cette situation implique un pactum de non petendo qui permet au poursuivi d’opposer les exceptions personnelles dont il dispose contre le poursuivant conformément au contrat de fiducie, en particulier celle consistant à exiger la limitation de la somme réclamée au montant de la créance causale. Dans le cadre de l’art. 82 LP, le poursuivi doit rendre vraisemblable que le montant de la créance causale est inférieur à celui de la créance abstraite (ATF 140 III 180 consid. 5.1.2 , SJ 2014 I 326 ; Denys, op. cit., p. 15). En revanche, dès lors que la créance causale n’est pas la créance en poursuite et que la cédule hypothécaire vaut reconnaissance de dette pour toute la créance instrumentée dans le titre, le créancier n’a pas à produire une reconnaissance de dette pour la créance causale (ATF 140 III 180 consid. 5.1.2 ; Denys, op. cit., p. 16). c) En l’espèce, le premier juge a constaté que la créance causale était d’un montant inférieur à celui de la créance abstraite, ce qui n’est pas contesté. La mainlevée provisoire a notamment été prononcée pour le montant en capital des prêts n os 5234.39.72 (1'000'000 fr.) et 5254.35.04 (1'500'000 fr.) et pour le solde en capital après amortissement partiel au 15 juillet 2014 du prêt n° 5140.27.48 (490'104 fr.). La décision est bien fondée sur ce point, le recourant n’ayant pas rendu vraisemblable ni même allégué un amortissement supplémentaire sur le montant des prêts. Les intérêts réclamés sur les montants de 1'000'000 fr. et 1'500’0000 fr., respectivement 2,52 % dès le 13 mai 2014 et jusqu’au 12 novembre 2014 sur le premier montant et 2,37 % dès le 24 août 2014 sur le second, sont conformes aux contrats de prêt et peuvent être alloués. Un intérêt à 5 % est réclamé sur le montant de 1'000'000 fr. dès le 13 novembre 2014. Le contrat des 8/22 octobre 2009 prévoyait que le taux fixe de 2,52 % était convenu pour une durée de cinq ans, soit jusqu’au 22 octobre 2014. Selon les conditions générales applicables au contrat, à l’expiration du taux fixe, le prêt est maintenu aux conditions que la banque applique pour les prêts hypothécaires à taux variable pour les nouvelles affaires analogues. Les pièces du dossier ne permettent pas de déterminer ce taux. Il convient dès lors de maintenir le taux de 2.52 % jusqu’à la dénonciation du prêt et d’allouer le taux de 5 % réclamé dès le 1 er mai 2015, lendemain de l’échéance fixée par la dénonciation, conformément à la jurisprudence du Tribunal fédéral (TF 5C.249/2004 du 2 mars 2005, cité par Denys, op. cit., p. 17). Quant à l’intérêt au taux de 3,4 % réclamé dès le 16 juillet 2014 sur le montant de 490'104 fr., il correspond, selon la requête de mainlevée, au taux variable appliqué par la banque à l’échéance du taux fixe de 2,54 %. Ce taux de 3,4 % n’est toutefois pas documenté. Il ne peut être alloué que dès le 1 er mai 2015, lendemain de la dénonciation du prêt. La mainlevée provisoire peut être prononcée à concurrence du montant des demi-annuités impayées sur les prêts n os 5234.39.72 et 5254.35.04, soit 12'600 francs pour le premier prêt et 17'775 fr. pour le second, dès lors que les éléments de calcul figurent dans les contrats. Selon les conditions générales de la banque (ch. 10), celle-ci se réserve de modifier en tout temps ses tarifs de frais, taux d’intérêts et de commissions ainsi que les échéances et en informe à l’avance le client par voie de circulaires, mise à disposition de brochures ou tout autre moyen qu’elle jugera approprié. En l’espèce, l’intimée a certes produit un document intitulé « Tarif des frais crédits », sans qu’il ressorte de ce document ou d’une autre pièce du dossier que les frais de rappel réclamés, qui correspondent certes à ce tarif, aient été communiqués au recourant. La mainlevée ne saurait dès lors être prononcée pour les frais de rappel. Quant à l’intérêt moratoire au taux de 5 % réclamé dès l’échéance des demi-annuités d’intérêts impayées, il ne peut être alloué que dès le 8 mai 2015, lendemain de la notification du commandement de payer, conformément à l’art. 105 al. 1 CO (Code des obligations ; RS 220). Le montant de 43'300 fr. 60 pour lequel la mainlevée a été prononcée par le premier juge comprend la demi-annuité d’intérêts et amortissement impayée au 15 janvier 2014, plus les frais de rappel et une indemnité de retard. Pour les mêmes motifs que ceux exposés ci-dessus, la mainlevée peut être prononcée pour le montant de 7'235 fr. 75 d’intérêts et 35'654 fr. 25 d’amortissement, soit au total 42'890 fr., les éléments de calcul, en particulier le taux d’intérêt de 2,54 %, figurant dans le contrat. La mainlevée doit être refusée pour les frais de rappel, ainsi que pour l’indemnité de retard qui, si elle est prévue sur le principe dans les conditions du prêt, n’est pas non plus documentée. L’intérêt de retard au taux de 5 % peut être alloué dès le 16 janvier 2014 sur l’amortissement et dès le 8 mai 2015 sur les intérêts (art. 105 al. 1 CO). L’acompte de 7'646 fr. 35 valeur au 24 avril 2014 sera porté en déduction. Le montant de 46'138 fr. 20 pour lequel le premier juge a également prononcé la mainlevée comprend la demi-annuité d’intérêts et amortissement impayée au 15 juillet 2014, plus les frais de rappel et une indemnité de retard. Les intérêts ont été calculés au taux de 3,4 %. Pour les motifs indiqués ci-dessus, seul un intérêt au taux de 2,54 % est justifié par les pièces produites, ce qui représente le montant de 7'131 fr. 30 (561’517 fr. 45 x 2,54% : 360 x 180), plus intérêt à 5 % dès le 8 mai 2015, lendemain de la notification du commandement de payer. La mainlevée provisoire peut également être prononcée sur la demi-annuité d’amortissement de 35'654 fr. 25 plus intérêt à 5 % dès le 16 juillet 2014. La mainlevée peut ainsi être prononcée sur un montant total en capital de 42'785 fr. 55. d) Le premier juge a levé provisoirement les deux oppositions, formées par le recourant et par son épouse. Cette dernière n’a pas recouru. Le prononcé doit en conséquence être réformé en ce sens que l’opposition formée par A.N.________ est provisoirement levée à concurrence des montants retenus sous let. c) ci-dessus. V. Compte tenu de la faible mesure dans laquelle le recours est admis, c’est la poursuivante et intimée qui doit être considérée comme obtenant gain de cause. Il se justifie dès lors de maintenir le prononcé de première instance en ce qui concerne la répartition des frais judiciaires, sans allocation de dépens. Quant aux frais judiciaires de deuxième instance, arrêtés à 2625 fr., ils doivent être mis à la charge du recourant, qui en a déjà fait l’avance. Il n’y a pas lieu d’allouer des dépens à l’intimée, qui a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