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20 vom 18. Januar 2016</w:t>
      </w:r>
    </w:p>
    <w:p>
      <w:r>
        <w:t>VD Tribunal cantonal, 2016-01-18, FR</w:t>
      </w:r>
    </w:p>
    <w:p>
      <w:r>
        <w:rPr>
          <w:b/>
        </w:rPr>
        <w:t xml:space="preserve">Quelle: </w:t>
      </w:r>
      <w:r>
        <w:t>https://mcp.opencaselaw.ch/entscheid/vd_findinfo_ML___2016___20</w:t>
      </w:r>
    </w:p>
    <w:p>
      <w:r>
        <w:t>FR: VD_FINDINFO ML / 2016 / 20 du 18 janvier 2016</w:t>
      </w:r>
    </w:p>
    <w:p>
      <w:r>
        <w:t>IT: VD_FINDINFO ML / 2016 / 20 del 18 gennaio 2016</w:t>
      </w:r>
    </w:p>
    <w:p>
      <w:pPr>
        <w:pStyle w:val="Heading2"/>
      </w:pPr>
      <w:r>
        <w:t>Regeste</w:t>
      </w:r>
    </w:p>
    <w:p>
      <w:r>
        <w:t>MAINLEVÉE PROVISOIRE, TITRE DE MAINLEVÉE, MAINLEVÉE DÉFINITIVE | 80 al. 2 ch. 2 LP, 82 al. 1 LP</w:t>
      </w:r>
    </w:p>
    <w:p>
      <w:pPr>
        <w:pStyle w:val="Heading2"/>
      </w:pPr>
      <w:r>
        <w:t>Volltext</w:t>
      </w:r>
    </w:p>
    <w:p>
      <w:r>
        <w:t>Vaud Tribunal cantonal Cour des poursuites et faillites 18.01.2016 ML / 2016 / 20</w:t>
      </w:r>
    </w:p>
    <w:p>
      <w:r>
        <w:t>MAINLEVÉE PROVISOIRE, TITRE DE MAINLEVÉE, MAINLEVÉE DÉFINITIVE | 80 al. 2 ch. 2 LP, 82 al. 1 LP</w:t>
      </w:r>
    </w:p>
    <w:p>
      <w:r>
        <w:t>TRIBUNAL CANTONAL KC15.029965-152051 22 Cour des poursuites et faillites ________________________________________________ Arrêt du 18 janvier 2016 ___________________ Composition :              Mme Rouleau , présidente Mmes Carlsson et Byrde, juges Greffier : M.              Elsig ***** Art. 80 al. 2 ch. 2, 82 al. 1 LP Vu le prononcé rendu le 15 septembre 2015 et notifié à la poursuivante sous forme de dispositif le 18 septembre 2015, à la suite de l’audience du 10 septembre 2015, par le Juge de paix du district de Lavaux-Oron, rejetant la requête de mainlevée déposée par la COMMUNE DE Q.________ , à Q.________, dans la poursuite n° 7'476'473 de l’Office des poursuites du district de Lavaux-Oron intentée par elle contre J.________ , à [...], fixant les frais judiciaires à 120 fr. et les mettant à la charge de la poursuivante, sans allocation de dépens pour le surplus, vu la demande de motivation de ce prononcé déposée le 23 septembre 2015 par la poursuivante, vu les motifs du prononcé adressés aux parties le 27 novembre 2015 et notifiés à la poursuivante le 1 er décembre 2015, vu le recours interjeté le 8 décembre 2015 et signé, sur réquisition de la présidente de la cour de céans, par le syndic et la secrétaire municipale le 18 décembre 2015, concluant à ce que la mainlevée soit accordée, vu les pièces nouvelles produites à l’appui du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qu’en revanche les pièces produites à l’appui du recours sont irrecevables dans la mesure où elles ne figurent pas déjà au dossier de première instance, vu la prohibition des preuves nouvelles posée par l’art. 326 al. 1 CPC ; attendu qu’à l’appui de sa requête de mainlevée du 16 juillet 2015, qui ne précise pas si elle tend à la levée provisoire ou définitive de l’opposition, la poursuivante a produit les pièces suivantes : - l’original du commandement de payer les sommes de 680 fr. 40 avec intérêt à 5 % l’an dès le 31 janvier 2015 et de 30 fr. sans intérêt, notifié le 16 juin 2015 à l’instance de la Commune de Q.________ à J.________ dans la poursuite n° 7'476'473 de l’Office des poursuites du district de Lavaux-Oron, indiquant comme titre de la créance ou cause de l’obligation : « Facture n° [...] – port » et « Frais de rappel », frappé d’opposition totale ; - les copies des procès-verbaux de contrôle des places visiteurs du port communal de Q.________ faisant état de la présence à diverses dates du bateau immatriculé [...] sur les places visiteurs hors port ; - une copie de la facture du 18 décembre 2014 de la Commune de Q.________ de 680 francs 40, TVA incluse, pour l’utilisation de la place visiteur par le bateau immatriculé [...] adressée à J.________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le contentieux de la mainlevée d'opposition (art. 80 ss LP [loi fédérale sur la poursuite pour dettes et la faillite ; RS 281.1]), soumis à la procédure sommaire (art. 251 let. a CPC), est un « Urkundenprozess » (art. 254 al. 1 CPC), dont le but n'est pas de constater la réalité d'une créance, mais l'existence d'un titre exécutoire, que le juge de la mainlevée examine uniquement la force probante du titre produit par le créancier poursuivant, sa nature formelle, et non pas la validité de la prétention déduite en poursuite (ATF 132 III 140 consid. 4.1.1 et les références ; TF 5A_465/2014 du 20 août 2014 consid. 7.2.1.1), que le prononcé de mainlevée ne sortit que des effets de droit des poursuites (ATF 100 III 48 consid. 3) et ne fonde pas l'exception de chose jugée (res iudicata) quant à l'existence de la créance (ATF 136 III 583 consid. 2.3), que la décision du juge de la mainlevée ne prive donc pas les parties du droit de soumettre à nouveau la question litigieuse au juge ordinaire en ouvrant notamment action en reconnaissance, respectivement en libération de dette ou en constatation de l'inexistence de la créance (art. 79, 83 al. 2 et 85a LP ; ATF 136 III 528 consid. 3.2 ; TF 5A_577/2013 du 7 octobre 2013 consid. 4.1), qu’en l’espèce, la recourante n’a produit en première instance aucun écrit signé de l’intimé reconnaissant devoir le montant litigieux, que, faute de reconnaissance de dette, la mainlevée provisoire ne saurait être accordée ; attendu qu’aux termes de l’art. 80 LP, le créancier au bénéfice d’un jugement exécutoire peut requérir du juge la mainlevée définitive de l’opposition (al. 1), les décisions des autorités administratives suisses notamment étant assimilées aux jugements exécutoires, (art. 80 al. 2 ch. 2 LP), que par décision de l’autorité administrative, on entend, de façon large, tout acte administratif imposant péremptoirement au contribuable le paiement d’une somme d’argent à la corporation publique (TF 5P.351/2006 du 16 novembre 2006 consid. 3 ; TF 5P.113/2002 du 1er mai 2002; Staehelin, in Staehelin/Bauer/Staehelin (éd.), Basler Kommentar zum Bundesgesetz über Schuldbetreibung und Konkurs I, 2 e éd., 2010, n. 120 ad art. 80 LP; Panchaud/Caprez, La mainlevée d’opposition, § 122), qu’une simple disposition prise par un organe administratif, revêtue de l’autorité administrative et donnant naissance à une créance de droit public suffit sans qu’il soit nécessaire qu’un débat ait précédé la décision (ibidem),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LP ;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qu’en l’espèce, la facture du 18 décembre 2014 n’est pas pourvue de l’indication des voie et délai de recours, qu’elle ne saurait en conséquence être assimilée à une décision administrative au sens de l’art. 80 al. 2 ch. 2 LP, qu’elle ne peut donc ouvrir le droit à la mainlevée définitive de l’opposition de l’intimé ; attendu que le recours, manifestement mal fondé, doit être rejeté et le prononcé confirmé, que,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La présidente :               Le greffier : Du L'arrêt qui précède, dont la rédaction a été approuvée à huis clos, est notifié, par l'envoi de photocopies, à : ‑ Commune de Q.________, ‑ M. J.________. La Cour des poursuites et faillites considère que la valeur litigieuse est de 768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