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19 vom 13. Januar 2016</w:t>
      </w:r>
    </w:p>
    <w:p>
      <w:r>
        <w:t>VD Tribunal cantonal, 2016-01-13, FR</w:t>
      </w:r>
    </w:p>
    <w:p>
      <w:r>
        <w:rPr>
          <w:b/>
        </w:rPr>
        <w:t xml:space="preserve">Quelle: </w:t>
      </w:r>
      <w:r>
        <w:t>https://mcp.opencaselaw.ch/entscheid/vd_findinfo_ML___2016___19</w:t>
      </w:r>
    </w:p>
    <w:p>
      <w:r>
        <w:t>FR: VD_FINDINFO ML / 2016 / 19 du 13 janvier 2016</w:t>
      </w:r>
    </w:p>
    <w:p>
      <w:r>
        <w:t>IT: VD_FINDINFO ML / 2016 / 19 del 13 gennaio 2016</w:t>
      </w:r>
    </w:p>
    <w:p>
      <w:pPr>
        <w:pStyle w:val="Heading2"/>
      </w:pPr>
      <w:r>
        <w:t>Regeste</w:t>
      </w:r>
    </w:p>
    <w:p>
      <w:r>
        <w:t>MAINLEVÉE PROVISOIRE, TITRE DE MAINLEVÉE, INTERNATIONAL, RECONNAISSANCE DE DETTE | 82 al. 1 LP</w:t>
      </w:r>
    </w:p>
    <w:p>
      <w:pPr>
        <w:pStyle w:val="Heading2"/>
      </w:pPr>
      <w:r>
        <w:t>Erwägungen</w:t>
      </w:r>
    </w:p>
    <w:p>
      <w:r>
        <w:rPr>
          <w:b/>
        </w:rPr>
        <w:t>E. 19</w:t>
      </w:r>
    </w:p>
    <w:p>
      <w:r>
        <w:t>décembre 2008; RS 272]) et en temps utile, dans le délai de dix jours suivant la notification de la décision motivée (art. 321 al. 2 CPC). Il est ainsi recevable. Il en va de même des pièces produites qui ne sont pas nouvelles. Les déterminations de l'intimée, déposées dans le délai de l'art. 322 al. 2 CPC, sont également recevables. II. La recourante admet qu’en signant l’accord de médiation du 30 avril 2014 (Settlement Agreement), elle s’est bien engagée à verser à l’intimée une somme de 290'000 £ d’ici au 30 juin 2014 (allégué 7 et 8 du recours). Elle prend toutefois appui sur l’article 3.3 de cet accord pour soutenir qu’en cas de non-paiement du montant convenu dans le délai fixé au 30 juin 2014, la somme de 290'000 £ n’était plus exigible, les parties ne pouvant dès lors plus faire valoir que les seuls droits et obligations découlant du contrat initial, soit celui signé le 24 octobre 2013. a/aa) L’intimée étant domiciliée à l’étranger, la cause est de nature internationale (ATF 141 III 294 consid. 4).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consid. 2.2.1, Staehelin, Basler Kommentar, 2 e éd., n. 174 ad art. 82 LP ; TC Bâle campagne,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 point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bb)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Savoir s’il existe une reconnaissance de dette s’interprète en conformité avec les règles déduites de l’art. 18 al. 1 CO (Code des obligations du 30 mars 1911; RS 220), qu’il s’agisse d’une déclaration de volonté unilatérale (Winiger, Commentaire romand,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I 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c) En l’espèce, il ressort du chiffre 3.1 de l’accord de médiation signé le 30 avril 2014 que la recourante s’est engagée à payer la somme de 290'000 £ dans un délai de quarante-huit heures dès la finalisation de négociations financières entreprises avec un nouvel investisseur mais au plus tard le 30 juin 2014. Le même chiffre précise que cet engagement intervenait sans reconnaissance de responsabilité - ce qui est sans conséquence au niveau de l’exigibilité -  et pour autant, que les parties se conforment à l’accord de médiation (Subject to the Parties’ compliance with this Agreement). A cet égard, la recourante ne soutient pas que l’intimée n’aurait de son côté pas respecté les engagements pris dans le cadre de l’accord de médiation. On ne saurait en outre interpréter cette précision comme une condition suspensive subordonnant la validité de l’engagement de la recourante à l’exécution de sa propre prestation, soit au versement effectif de la somme convenue dans le délai fixé. Cela reviendrait en effet à considérer que l’obligation de payer était subordonnée au paiement lui-même, ce qui est absurde et ne peut par conséquent pas avoir été la volonté des parties. La recourante ne semble du reste pas expressément le soutenir. Pour le reste, il est vrai que l’article 3.3 de l’accord de médiation prévoit que les droits et obligations des parties découlant du contrat signé le 24 octobre 2013 seront immédiatement éteints à la date de paiement (on or by the Payment date). L’article 5.1 précise lui aussi que les parties se donnent réciproquement quittance de toutes les prétentions découlant de ce contrat moyennant que les obligations découlant de l’accord de médiation soient accomplies dans les délais prévus (Subject to the Parties’ satisfying their respective obligations in a timely manner persuant to this Agreement). Ces deux clauses signifient uniquement que l’effet libératoire du paiement de la somme de 290’000 £ ne pouvait intervenir que dans l’hypothèse où il était effectué dans le délai convenu, soit d’ici le 30 juin 2014 au plus tard. Elles ne signifient en revanche pas, contrairement à ce que soutient la recourante, que la validité de l’accord, et en particulier de l’engagement de payer souscrit par la recourante, devenait caduc une fois le délai passé ni, par conséquent, que le montant de 290'000 £ n’était plus exigible au-delà du 30 juin 2014. Une telle conséquence ne résulte par ailleurs d’aucune autre disposition de l’accord. En d’autres termes, l’intimée pouvait donc toujours se prévaloir de l’accord de médiation signé le 30 avril 2014 comme titre à la mainlevée provisoire au-delà de la date du 30 juin 2014. Le grief avancé par la recourante doit donc être rejeté. Cette dernière n’en soulevant pas d’autres, la décision du premier juge doit par conséquent être confirmée. III. En conclusion, le recours doit être rejeté et le prononcé confirmé. Les frais judiciaires de deuxième instance, arrêtés à 1’200 fr., sont mis à la charge de la recourante qui succombe (art. 106 al. 1 CPC). L’intimée, qui obtient gain de cause, a droit à des dépens qui sont arrêtés à 2’500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