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15 vom 7. Januar 2016</w:t>
      </w:r>
    </w:p>
    <w:p>
      <w:r>
        <w:t>VD Tribunal cantonal, 2016-01-07, FR</w:t>
      </w:r>
    </w:p>
    <w:p>
      <w:r>
        <w:rPr>
          <w:b/>
        </w:rPr>
        <w:t xml:space="preserve">Quelle: </w:t>
      </w:r>
      <w:r>
        <w:t>https://mcp.opencaselaw.ch/entscheid/vd_findinfo_ML___2016___15</w:t>
      </w:r>
    </w:p>
    <w:p>
      <w:r>
        <w:t>FR: VD_FINDINFO ML / 2016 / 15 du 7 janvier 2016</w:t>
      </w:r>
    </w:p>
    <w:p>
      <w:r>
        <w:t>IT: VD_FINDINFO ML / 2016 / 15 del 7 gennaio 2016</w:t>
      </w:r>
    </w:p>
    <w:p>
      <w:pPr>
        <w:pStyle w:val="Heading2"/>
      </w:pPr>
      <w:r>
        <w:t>Regeste</w:t>
      </w:r>
    </w:p>
    <w:p>
      <w:r>
        <w:t>MOTIVATION DE LA DÉCISION, OBLIGATION DE CHIFFRER LES CONCLUSIONS, DÉCISION D'IRRECEVABILITÉ | 321 al. 1 CPC (CH)</w:t>
      </w:r>
    </w:p>
    <w:p>
      <w:pPr>
        <w:pStyle w:val="Heading2"/>
      </w:pPr>
      <w:r>
        <w:t>Volltext</w:t>
      </w:r>
    </w:p>
    <w:p>
      <w:r>
        <w:t>Vaud Tribunal cantonal Cour des poursuites et faillites 07.01.2016 ML / 2016 / 15</w:t>
      </w:r>
    </w:p>
    <w:p>
      <w:r>
        <w:t>MOTIVATION DE LA DÉCISION, OBLIGATION DE CHIFFRER LES CONCLUSIONS, DÉCISION D'IRRECEVABILITÉ | 321 al. 1 CPC (CH)</w:t>
      </w:r>
    </w:p>
    <w:p>
      <w:r>
        <w:t>TRIBUNAL CANTONAL KC15.007768-152053 2 Cour des poursuites et faillites ________________________________________________ Arrêt du 7 janvier 2016 __________________ Composition :              Mme Rouleau , présidente Mme Carlsson et M. Maillard, juges Greffier : Mme              Joye ***** Art. 321 al. 1 CPC Vu le prononcé rendu le 20 juillet 2015, à la suite de l'interpellation de la partie poursuivie, par le Juge de paix du district de La Riviera – Pays-d'Enhaut, prononçant la mainlevée provisoire, à concurrence de 4’295 fr. 60, plus intérêt au taux de 5 % l'an dès le 9 octobre 2014, de l'opposition formée par X.________ , à Montreux, à la poursuite n° 7'363’528 de l'Office des poursuites du district de La Riviera – Pays-d'Enhaut exercée contre lui à l'instance de F.________ , à Ovronnaz, vu la demande de motivation déposée par le poursuivi le 26 juillet 2015, vu l’acte de recours déposé par le poursuivi le 3 août 2015, vu le prononcé motivé adressé pour notification aux parties le 9 décembre 2015, distribué au poursuivi le lendemain,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1 ère phrase, CPC), un acte de recours déposé dans ce délai étant alors considéré comme une demande de motivation, qu’en l’espèce, le recours exercé le 3 août 2015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revanche, lorsqu’il a recouru dans le délai de demande de motivation, le recourant peut déposer un nouvel acte de recours motivé dans le délai de recours proprement dit, soit dans les dix jours suivant la notification du prononcé motivé (art. 321 al. 2 CPC), qu’en l’espèce, le poursuivi n'a formulé aucun grief, motif ou moyen de recours reconnaissable contre le prononcé levant provisoirement son opposition à la poursuite en cause dans son acte de recours du 3 août 2015, qu'il n'a pas déposé d'autre acte après la notification, le 10 décembre 2015, de la décision motivée, dans le délai de recours de l’art. 321 al. 2 CPC, arrivé à échéance durant les féries de Noël de l’art. 56 ch. 2 LP (loi fédérale du 11 avril 1889 sur la poursuite pour dette et la faillite ; RS 281.1), le 20 décembre 2015, et reporté, conformément à l’art. 63 LP, au troisième jour utile, soit au 6 janvier 2016, que l’acte de recours du 3 août 2015, faute d'être motivé, ne satisfait pas aux exigences de forme posées par la loi et la jurisprudence et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X.________, ‑ F.________. La Cour des poursuites et faillites considère que la valeur litigieuse est de 4'295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