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107 vom 19. April 2016</w:t>
      </w:r>
    </w:p>
    <w:p>
      <w:r>
        <w:t>VD Tribunal cantonal, 2016-04-19, FR</w:t>
      </w:r>
    </w:p>
    <w:p>
      <w:r>
        <w:rPr>
          <w:b/>
        </w:rPr>
        <w:t xml:space="preserve">Quelle: </w:t>
      </w:r>
      <w:r>
        <w:t>https://mcp.opencaselaw.ch/entscheid/vd_findinfo_ML___2016___107</w:t>
      </w:r>
    </w:p>
    <w:p>
      <w:r>
        <w:t>FR: VD_FINDINFO ML / 2016 / 107 du 19 avril 2016</w:t>
      </w:r>
    </w:p>
    <w:p>
      <w:r>
        <w:t>IT: VD_FINDINFO ML / 2016 / 107 del 19 aprile 2016</w:t>
      </w:r>
    </w:p>
    <w:p>
      <w:pPr>
        <w:pStyle w:val="Heading2"/>
      </w:pPr>
      <w:r>
        <w:t>Regeste</w:t>
      </w:r>
    </w:p>
    <w:p>
      <w:r>
        <w:t>ACTE DE RECOURS, CONDITION DE RECEVABILITÉ, MOTIF DU RECOURS, MOTIVATION DE LA DEMANDE | 321 al. 1 CPC (CH)</w:t>
      </w:r>
    </w:p>
    <w:p>
      <w:pPr>
        <w:pStyle w:val="Heading2"/>
      </w:pPr>
      <w:r>
        <w:t>Volltext</w:t>
      </w:r>
    </w:p>
    <w:p>
      <w:r>
        <w:t>Vaud Tribunal cantonal Cour des poursuites et faillites 19.04.2016 ML / 2016 / 107</w:t>
      </w:r>
    </w:p>
    <w:p>
      <w:r>
        <w:t>ACTE DE RECOURS, CONDITION DE RECEVABILITÉ, MOTIF DU RECOURS, MOTIVATION DE LA DEMANDE | 321 al. 1 CPC (CH)</w:t>
      </w:r>
    </w:p>
    <w:p>
      <w:r>
        <w:t>TRIBUNAL CANTONAL KC15.049121-160541 129 Cour des poursuites et faillites ________________________________________________ Arrêt du 19 avril 2016 __________________ Composition :              Mme Rouleau , présidente MM. Hack et Maillard, juges Greffier : Mme              Debétaz Ponnaz ***** Art. 321 al. 1 CPC Vu la décision rendue le 5 janvier 2016, à la suite de l’interpellation de la partie poursuivie, par le Juge de paix du district de Lausanne, prononçant la mainlevée définitive, à concurrence de 1'000 fr., plus intérêt au taux de 3% l’an dès le 27 janvier 2015, de l’opposition formée par G.________ , à Cheseaux-sur-Lausanne, à la poursuite n° 7'583'736 de l'Office des poursuites du district de Lausanne exercée contre lui à l'instance de la Confédération suisse , représentée par l’Office d’impôt des districts de Lausanne et Ouest lausannois , arrêtant à 120 fr. les frais judiciaires, compensés avec l'avance de frais de la poursuivante, les mettant à la charge du poursuivi et disant que ce dernier doit en conséquence rembourser à la poursuivante son avance de frais, à concurrence de 120 fr., sans allocation de dépens pour le surplus, vu l’envoi du dispositif de cette décision aux parties le 12 janvier 2016 et sa notification au poursuivi le 20 janvier 2016, vu la lettre du poursuivi datée du 29 janvier et postée le lundi 1 er février 2016, signée par son épouse, dans laquelle il déclare faire « opposition » à la décision du juge de paix, explique avoir obtenu de l’office d’impôt un arrangement qu’il n’a plus été en mesure d’honorer après quelques mois et demande au juge de « reconsidérer [sa] décision le temps [qu’il] puisse trouver un nouvel arrangement de manière qu’il n’y ait pas de continuation de la poursuite », vu le prononcé motivé adressé aux parties le 8 mars 2016 sous pli recommandé, que le poursuivi a retiré le 17 mars 2016 au guichet de la poste, vu la transmission du dossier par le juge de paix à la cour de céans, autorité de recours, le 6 avril 2016,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1 re phrase, CPC), un acte de recours déposé dans ce délai étant alors considéré comme une demande de motivation, qu’en l’espèce, le recours déposé le lundi 1 er février 2016 (art. 142 al. 3 CPC) l’a été en temps utile ; attendu que l’épouse du poursuivi, qui a signé le recours, n’a pas justifié de ses pouvoirs par une procuration, qu’il ne lui a cependant pas été imparti de délai, au sens de l’art. 132 al. 1 CPC, pour produire une procuration, de sorte que le vice ne saurait, par application du principe de la bonne foi, être opposé au recourant et, au demeurant, reste sans conséquence, vu le sort du recours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l’espèce, le recours tend en substance à obtenir un délai afin de permettre au poursuivi de trouver un nouvel arrangement avec la poursuivante, qu’il ne contient aucun grief, motif ou moyen de recours reconnaissable contre le prononcé de mainlevée définitive de l’opposition à la poursuite en cause, qu’il ne satisfait dès lors pas aux exigences posées par la loi et la jurisprudence, que le recours doit par conséquent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G.________, ‑ Office d’impôt des districts de Lausanne et Ouest lausannois (pour la Confédération suisse). La Cour des poursuites et faillites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